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tLeast"/>
        <w:rPr>
          <w:rFonts w:ascii="黑体-简" w:hAnsi="黑体-简" w:eastAsia="黑体-简" w:cs="黑体-简"/>
          <w:sz w:val="44"/>
          <w:szCs w:val="44"/>
        </w:rPr>
      </w:pPr>
    </w:p>
    <w:p>
      <w:pPr>
        <w:spacing w:line="800" w:lineRule="exact"/>
        <w:jc w:val="distribute"/>
        <w:rPr>
          <w:rFonts w:ascii="黑体-简" w:hAnsi="黑体-简" w:eastAsia="黑体-简" w:cs="黑体-简"/>
          <w:sz w:val="44"/>
          <w:szCs w:val="44"/>
        </w:rPr>
      </w:pPr>
      <w:r>
        <w:rPr>
          <w:rFonts w:hint="eastAsia" w:ascii="黑体" w:hAnsi="黑体" w:eastAsia="黑体" w:cs="黑体"/>
          <w:color w:val="000000"/>
          <w:sz w:val="48"/>
          <w:szCs w:val="48"/>
        </w:rPr>
        <w:drawing>
          <wp:anchor distT="0" distB="0" distL="114300" distR="114300" simplePos="0" relativeHeight="251659264"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8"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widowControl/>
        <w:spacing w:line="800" w:lineRule="exact"/>
        <w:ind w:firstLine="360" w:firstLineChars="100"/>
        <w:jc w:val="left"/>
        <w:rPr>
          <w:rFonts w:ascii="仿宋GB-2312" w:hAnsi="仿宋GB-2312" w:eastAsia="仿宋GB-2312" w:cs="仿宋GB-2312"/>
          <w:sz w:val="36"/>
          <w:szCs w:val="36"/>
        </w:rPr>
      </w:pPr>
      <w:bookmarkStart w:id="0" w:name="_Toc35957544"/>
      <w:bookmarkStart w:id="1" w:name="_Toc6893"/>
      <w:bookmarkStart w:id="2" w:name="_Toc19510"/>
      <w:bookmarkStart w:id="3" w:name="_Toc19617"/>
      <w:bookmarkStart w:id="4" w:name="_Toc16889"/>
      <w:r>
        <w:rPr>
          <w:rFonts w:hint="eastAsia" w:ascii="仿宋GB-2312" w:hAnsi="仿宋GB-2312" w:eastAsia="仿宋GB-2312" w:cs="仿宋GB-2312"/>
          <w:sz w:val="36"/>
          <w:szCs w:val="36"/>
        </w:rPr>
        <w:t>民族音乐与舞蹈专业人才培养方案</w:t>
      </w:r>
      <w:bookmarkEnd w:id="0"/>
      <w:bookmarkEnd w:id="1"/>
      <w:bookmarkEnd w:id="2"/>
      <w:bookmarkEnd w:id="3"/>
      <w:bookmarkEnd w:id="4"/>
    </w:p>
    <w:p>
      <w:pPr>
        <w:spacing w:line="480" w:lineRule="atLeast"/>
        <w:jc w:val="center"/>
        <w:rPr>
          <w:rFonts w:ascii="黑体-简" w:hAnsi="黑体-简" w:eastAsia="黑体-简" w:cs="黑体-简"/>
          <w:spacing w:val="113"/>
          <w:sz w:val="44"/>
          <w:szCs w:val="44"/>
        </w:rPr>
      </w:pPr>
      <w:r>
        <w:rPr>
          <w:rFonts w:hint="eastAsia" w:ascii="仿宋GB-2312" w:hAnsi="仿宋GB-2312" w:cs="仿宋GB-2312"/>
          <w:sz w:val="36"/>
          <w:szCs w:val="36"/>
        </w:rPr>
        <w:t>（试行）</w:t>
      </w:r>
      <w:r>
        <w:rPr>
          <w:rFonts w:hint="eastAsia" w:ascii="仿宋GB-2312" w:hAnsi="仿宋GB-2312" w:eastAsia="仿宋GB-2312" w:cs="仿宋GB-2312"/>
          <w:sz w:val="36"/>
          <w:szCs w:val="36"/>
        </w:rPr>
        <w:t xml:space="preserve"> </w:t>
      </w:r>
    </w:p>
    <w:p>
      <w:pPr>
        <w:spacing w:line="480" w:lineRule="atLeast"/>
        <w:jc w:val="left"/>
        <w:rPr>
          <w:rFonts w:ascii="黑体-简" w:hAnsi="黑体-简" w:eastAsia="黑体-简" w:cs="黑体-简"/>
          <w:spacing w:val="113"/>
          <w:sz w:val="44"/>
          <w:szCs w:val="44"/>
        </w:rPr>
      </w:pPr>
    </w:p>
    <w:p>
      <w:pPr>
        <w:spacing w:line="480" w:lineRule="atLeast"/>
        <w:jc w:val="left"/>
        <w:rPr>
          <w:rFonts w:ascii="黑体-简" w:hAnsi="黑体-简" w:eastAsia="黑体-简" w:cs="黑体-简"/>
          <w:spacing w:val="113"/>
          <w:sz w:val="44"/>
          <w:szCs w:val="44"/>
        </w:rPr>
      </w:pP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业名</w:t>
      </w:r>
      <w:r>
        <w:rPr>
          <w:rFonts w:hint="eastAsia" w:ascii="仿宋" w:hAnsi="仿宋" w:cs="仿宋"/>
          <w:b/>
          <w:bCs/>
          <w:color w:val="000000"/>
          <w:sz w:val="36"/>
          <w:szCs w:val="36"/>
        </w:rPr>
        <w:t>称：</w:t>
      </w:r>
      <w:r>
        <w:rPr>
          <w:rFonts w:hint="eastAsia" w:ascii="仿宋" w:hAnsi="仿宋" w:cs="仿宋"/>
          <w:b/>
          <w:bCs/>
          <w:color w:val="000000"/>
          <w:sz w:val="36"/>
          <w:szCs w:val="36"/>
          <w:u w:val="single"/>
        </w:rPr>
        <w:t xml:space="preserve">   民族音乐与舞蹈   </w:t>
      </w:r>
    </w:p>
    <w:p>
      <w:pPr>
        <w:tabs>
          <w:tab w:val="left" w:pos="4666"/>
        </w:tabs>
        <w:spacing w:line="800" w:lineRule="exact"/>
        <w:ind w:firstLine="2168" w:firstLineChars="600"/>
        <w:jc w:val="left"/>
        <w:rPr>
          <w:rFonts w:ascii="仿宋" w:hAnsi="仿宋" w:cs="仿宋"/>
          <w:b/>
          <w:bCs/>
          <w:color w:val="000000"/>
          <w:sz w:val="36"/>
          <w:szCs w:val="36"/>
          <w:u w:val="single"/>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业代</w:t>
      </w:r>
      <w:r>
        <w:rPr>
          <w:rFonts w:hint="eastAsia" w:ascii="仿宋" w:hAnsi="仿宋" w:cs="仿宋"/>
          <w:b/>
          <w:bCs/>
          <w:color w:val="000000"/>
          <w:sz w:val="36"/>
          <w:szCs w:val="36"/>
        </w:rPr>
        <w:t>码：</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750301</w:t>
      </w:r>
      <w:r>
        <w:rPr>
          <w:rFonts w:hint="eastAsia" w:ascii="仿宋" w:hAnsi="仿宋" w:cs="仿宋"/>
          <w:b/>
          <w:bCs/>
          <w:color w:val="000000"/>
          <w:sz w:val="36"/>
          <w:szCs w:val="36"/>
          <w:u w:val="single"/>
        </w:rPr>
        <w:t xml:space="preserve">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专业负责人：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eastAsia="zh-CN"/>
        </w:rPr>
        <w:t>吴伟</w:t>
      </w:r>
      <w:r>
        <w:rPr>
          <w:rFonts w:hint="eastAsia" w:ascii="仿宋" w:hAnsi="仿宋" w:cs="仿宋"/>
          <w:b/>
          <w:bCs/>
          <w:color w:val="000000"/>
          <w:sz w:val="36"/>
          <w:szCs w:val="36"/>
          <w:u w:val="single"/>
        </w:rPr>
        <w:t xml:space="preserve">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编 制 人：</w:t>
      </w:r>
      <w:r>
        <w:rPr>
          <w:rFonts w:hint="eastAsia" w:ascii="仿宋" w:hAnsi="仿宋" w:cs="仿宋"/>
          <w:b/>
          <w:bCs/>
          <w:color w:val="000000"/>
          <w:sz w:val="36"/>
          <w:szCs w:val="36"/>
          <w:u w:val="single"/>
        </w:rPr>
        <w:t xml:space="preserve">    龙艳、 王学刚   </w:t>
      </w:r>
    </w:p>
    <w:p>
      <w:pPr>
        <w:tabs>
          <w:tab w:val="left" w:pos="4666"/>
        </w:tabs>
        <w:spacing w:line="800" w:lineRule="exact"/>
        <w:ind w:firstLine="2168" w:firstLineChars="600"/>
        <w:jc w:val="left"/>
        <w:rPr>
          <w:rFonts w:hint="eastAsia" w:ascii="仿宋GB-2312" w:hAnsi="仿宋GB-2312" w:cs="仿宋GB-2312"/>
          <w:b/>
          <w:bCs/>
          <w:color w:val="000000"/>
          <w:sz w:val="36"/>
          <w:szCs w:val="36"/>
        </w:rPr>
      </w:pPr>
      <w:r>
        <w:rPr>
          <w:rFonts w:hint="eastAsia" w:ascii="仿宋" w:hAnsi="仿宋" w:cs="仿宋"/>
          <w:b/>
          <w:bCs/>
          <w:color w:val="000000"/>
          <w:sz w:val="36"/>
          <w:szCs w:val="36"/>
        </w:rPr>
        <w:t>编</w:t>
      </w:r>
      <w:r>
        <w:rPr>
          <w:rFonts w:hint="eastAsia" w:ascii="仿宋" w:hAnsi="仿宋" w:cs="仿宋"/>
          <w:b/>
          <w:bCs/>
          <w:color w:val="000000"/>
          <w:spacing w:val="20"/>
          <w:sz w:val="36"/>
          <w:szCs w:val="36"/>
        </w:rPr>
        <w:t>制时</w:t>
      </w:r>
      <w:r>
        <w:rPr>
          <w:rFonts w:hint="eastAsia" w:ascii="仿宋" w:hAnsi="仿宋" w:cs="仿宋"/>
          <w:b/>
          <w:bCs/>
          <w:color w:val="000000"/>
          <w:sz w:val="36"/>
          <w:szCs w:val="36"/>
        </w:rPr>
        <w:t>间：</w:t>
      </w:r>
      <w:r>
        <w:rPr>
          <w:rFonts w:hint="eastAsia" w:ascii="仿宋" w:hAnsi="仿宋" w:cs="仿宋"/>
          <w:b/>
          <w:bCs/>
          <w:color w:val="000000"/>
          <w:sz w:val="36"/>
          <w:szCs w:val="36"/>
          <w:u w:val="single"/>
        </w:rPr>
        <w:t xml:space="preserve">     2020年3月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审 核 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lang w:eastAsia="zh-CN"/>
        </w:rPr>
        <w:t>吴伟</w:t>
      </w:r>
      <w:r>
        <w:rPr>
          <w:rFonts w:hint="eastAsia" w:ascii="仿宋" w:hAnsi="仿宋" w:cs="仿宋"/>
          <w:b/>
          <w:bCs/>
          <w:color w:val="000000"/>
          <w:sz w:val="36"/>
          <w:szCs w:val="36"/>
          <w:u w:val="single"/>
        </w:rPr>
        <w:t xml:space="preserve">          </w:t>
      </w:r>
    </w:p>
    <w:p>
      <w:pPr>
        <w:spacing w:line="480" w:lineRule="atLeast"/>
        <w:jc w:val="center"/>
        <w:rPr>
          <w:rFonts w:ascii="黑体-简" w:hAnsi="黑体-简" w:eastAsia="黑体-简" w:cs="黑体-简"/>
          <w:spacing w:val="113"/>
          <w:sz w:val="44"/>
          <w:szCs w:val="44"/>
        </w:rPr>
      </w:pPr>
    </w:p>
    <w:p>
      <w:pPr>
        <w:tabs>
          <w:tab w:val="left" w:pos="4666"/>
        </w:tabs>
        <w:spacing w:line="480" w:lineRule="atLeast"/>
        <w:rPr>
          <w:rFonts w:ascii="仿宋" w:hAnsi="仿宋" w:eastAsia="仿宋" w:cs="仿宋"/>
          <w:b/>
          <w:bCs/>
          <w:color w:val="000000" w:themeColor="text1"/>
          <w:sz w:val="36"/>
          <w:szCs w:val="36"/>
          <w14:textFill>
            <w14:solidFill>
              <w14:schemeClr w14:val="tx1"/>
            </w14:solidFill>
          </w14:textFill>
        </w:rPr>
      </w:pPr>
    </w:p>
    <w:p>
      <w:pPr>
        <w:spacing w:line="480" w:lineRule="atLeast"/>
        <w:rPr>
          <w:rFonts w:ascii="宋体" w:hAnsi="宋体" w:eastAsia="宋体"/>
        </w:rPr>
      </w:pPr>
    </w:p>
    <w:p>
      <w:pPr>
        <w:spacing w:line="480" w:lineRule="atLeast"/>
        <w:rPr>
          <w:rFonts w:ascii="仿宋" w:hAnsi="仿宋" w:eastAsia="仿宋" w:cs="仿宋"/>
          <w:sz w:val="32"/>
          <w:szCs w:val="32"/>
        </w:rPr>
      </w:pPr>
    </w:p>
    <w:p>
      <w:pPr>
        <w:spacing w:line="480" w:lineRule="atLeast"/>
        <w:jc w:val="center"/>
        <w:rPr>
          <w:rFonts w:ascii="仿宋" w:hAnsi="仿宋" w:eastAsia="仿宋" w:cs="仿宋"/>
          <w:sz w:val="32"/>
          <w:szCs w:val="32"/>
        </w:rPr>
      </w:pPr>
    </w:p>
    <w:p>
      <w:pPr>
        <w:spacing w:line="480" w:lineRule="atLeast"/>
        <w:jc w:val="center"/>
        <w:rPr>
          <w:rFonts w:ascii="仿宋" w:hAnsi="仿宋" w:eastAsia="仿宋" w:cs="仿宋"/>
          <w:sz w:val="32"/>
          <w:szCs w:val="32"/>
        </w:rPr>
      </w:pPr>
    </w:p>
    <w:p>
      <w:pPr>
        <w:spacing w:line="480" w:lineRule="atLeast"/>
        <w:jc w:val="center"/>
        <w:rPr>
          <w:rFonts w:ascii="仿宋" w:hAnsi="仿宋" w:eastAsia="仿宋" w:cs="仿宋"/>
          <w:sz w:val="32"/>
          <w:szCs w:val="32"/>
        </w:rPr>
      </w:pPr>
    </w:p>
    <w:p>
      <w:pPr>
        <w:widowControl/>
        <w:jc w:val="center"/>
        <w:rPr>
          <w:rFonts w:ascii="仿宋" w:hAnsi="仿宋" w:eastAsia="宋体" w:cs="仿宋"/>
          <w:color w:val="000000"/>
          <w:sz w:val="36"/>
          <w:szCs w:val="36"/>
        </w:rPr>
        <w:sectPr>
          <w:pgSz w:w="11906" w:h="16838"/>
          <w:pgMar w:top="1440" w:right="1440" w:bottom="1440" w:left="1440" w:header="851" w:footer="992" w:gutter="0"/>
          <w:pgNumType w:start="1"/>
          <w:cols w:space="0" w:num="1"/>
          <w:docGrid w:type="lines" w:linePitch="312" w:charSpace="0"/>
        </w:sectPr>
      </w:pPr>
      <w:r>
        <w:rPr>
          <w:rFonts w:hint="eastAsia" w:ascii="仿宋" w:hAnsi="仿宋" w:eastAsia="宋体" w:cs="仿宋"/>
          <w:color w:val="000000"/>
          <w:sz w:val="36"/>
          <w:szCs w:val="36"/>
        </w:rPr>
        <w:t>松桃苗族自治县中等职业学校</w:t>
      </w:r>
    </w:p>
    <w:p>
      <w:pPr>
        <w:spacing w:line="480" w:lineRule="atLeast"/>
        <w:rPr>
          <w:rFonts w:ascii="宋体" w:hAnsi="宋体" w:eastAsia="宋体"/>
          <w:b/>
          <w:bCs/>
          <w:sz w:val="44"/>
          <w:szCs w:val="44"/>
        </w:rPr>
      </w:pPr>
    </w:p>
    <w:p>
      <w:pPr>
        <w:widowControl/>
        <w:spacing w:line="480" w:lineRule="exact"/>
        <w:jc w:val="center"/>
        <w:rPr>
          <w:rFonts w:ascii="黑体" w:hAnsi="黑体" w:eastAsia="黑体" w:cs="黑体"/>
          <w:b/>
          <w:bCs/>
          <w:sz w:val="44"/>
          <w:szCs w:val="44"/>
        </w:rPr>
      </w:pPr>
      <w:bookmarkStart w:id="5" w:name="_Toc21987"/>
      <w:r>
        <w:rPr>
          <w:rFonts w:hint="eastAsia" w:ascii="黑体" w:hAnsi="黑体" w:eastAsia="黑体" w:cs="黑体"/>
          <w:b/>
          <w:bCs/>
          <w:sz w:val="44"/>
          <w:szCs w:val="44"/>
        </w:rPr>
        <w:t>目录</w:t>
      </w:r>
    </w:p>
    <w:p>
      <w:pPr>
        <w:pStyle w:val="11"/>
        <w:widowControl/>
        <w:tabs>
          <w:tab w:val="right" w:leader="dot" w:pos="8296"/>
        </w:tabs>
        <w:spacing w:line="480" w:lineRule="exact"/>
        <w:jc w:val="left"/>
        <w:rPr>
          <w:rStyle w:val="18"/>
          <w:rFonts w:ascii="宋体" w:hAnsi="宋体" w:eastAsia="宋体" w:cs="宋体"/>
          <w:color w:val="auto"/>
          <w:szCs w:val="21"/>
        </w:rPr>
      </w:pPr>
      <w:r>
        <w:rPr>
          <w:sz w:val="24"/>
        </w:rPr>
        <w:fldChar w:fldCharType="begin"/>
      </w:r>
      <w:r>
        <w:rPr>
          <w:sz w:val="24"/>
        </w:rPr>
        <w:instrText xml:space="preserve">TOC \o "1-2" \h \u </w:instrText>
      </w:r>
      <w:r>
        <w:rPr>
          <w:sz w:val="24"/>
        </w:rPr>
        <w:fldChar w:fldCharType="separate"/>
      </w:r>
      <w:r>
        <w:fldChar w:fldCharType="begin"/>
      </w:r>
      <w:r>
        <w:instrText xml:space="preserve"> HYPERLINK \l "_Toc27256" </w:instrText>
      </w:r>
      <w:r>
        <w:fldChar w:fldCharType="separate"/>
      </w:r>
      <w:r>
        <w:rPr>
          <w:rStyle w:val="18"/>
          <w:rFonts w:hint="eastAsia" w:ascii="宋体" w:hAnsi="宋体" w:eastAsia="宋体" w:cs="宋体"/>
          <w:color w:val="auto"/>
          <w:szCs w:val="21"/>
        </w:rPr>
        <w:t>一、专业名称与专业代码</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_Toc27256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"_Toc19181" </w:instrText>
      </w:r>
      <w:r>
        <w:fldChar w:fldCharType="separate"/>
      </w:r>
      <w:r>
        <w:rPr>
          <w:rStyle w:val="18"/>
          <w:rFonts w:hint="eastAsia" w:ascii="宋体" w:hAnsi="宋体" w:eastAsia="宋体" w:cs="宋体"/>
          <w:color w:val="auto"/>
          <w:szCs w:val="21"/>
        </w:rPr>
        <w:t>二、入学要求</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_Toc19181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"_Toc31731" </w:instrText>
      </w:r>
      <w:r>
        <w:fldChar w:fldCharType="separate"/>
      </w:r>
      <w:r>
        <w:rPr>
          <w:rStyle w:val="18"/>
          <w:rFonts w:hint="eastAsia" w:ascii="宋体" w:hAnsi="宋体" w:eastAsia="宋体" w:cs="宋体"/>
          <w:color w:val="auto"/>
          <w:szCs w:val="21"/>
        </w:rPr>
        <w:t>三、修业年限</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_Toc31731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"_Toc10525" </w:instrText>
      </w:r>
      <w:r>
        <w:fldChar w:fldCharType="separate"/>
      </w:r>
      <w:r>
        <w:rPr>
          <w:rStyle w:val="18"/>
          <w:rFonts w:hint="eastAsia" w:ascii="宋体" w:hAnsi="宋体" w:eastAsia="宋体" w:cs="宋体"/>
          <w:color w:val="auto"/>
          <w:szCs w:val="21"/>
        </w:rPr>
        <w:t>四、 职业面向</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_Toc10525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0563C1"/>
          <w:szCs w:val="21"/>
        </w:rPr>
      </w:pPr>
      <w:r>
        <w:fldChar w:fldCharType="begin"/>
      </w:r>
      <w:r>
        <w:instrText xml:space="preserve"> HYPERLINK \l "_Toc31391" </w:instrText>
      </w:r>
      <w:r>
        <w:fldChar w:fldCharType="separate"/>
      </w:r>
      <w:r>
        <w:rPr>
          <w:rStyle w:val="18"/>
          <w:rFonts w:hint="eastAsia" w:ascii="宋体" w:hAnsi="宋体" w:eastAsia="宋体" w:cs="宋体"/>
          <w:color w:val="auto"/>
          <w:szCs w:val="21"/>
        </w:rPr>
        <w:t>五、培养目标与培养规格</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_Toc31391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"_Toc28168" </w:instrText>
      </w:r>
      <w:r>
        <w:fldChar w:fldCharType="separate"/>
      </w:r>
      <w:r>
        <w:rPr>
          <w:rStyle w:val="18"/>
          <w:rFonts w:hint="eastAsia" w:ascii="宋体" w:hAnsi="宋体" w:eastAsia="宋体" w:cs="宋体"/>
          <w:color w:val="auto"/>
          <w:szCs w:val="21"/>
        </w:rPr>
        <w:t>（一）培养目标</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_Toc28168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"_Toc17197" </w:instrText>
      </w:r>
      <w:r>
        <w:fldChar w:fldCharType="separate"/>
      </w:r>
      <w:r>
        <w:rPr>
          <w:rStyle w:val="18"/>
          <w:rFonts w:hint="eastAsia" w:ascii="宋体" w:hAnsi="宋体" w:eastAsia="宋体" w:cs="宋体"/>
          <w:color w:val="auto"/>
          <w:szCs w:val="21"/>
        </w:rPr>
        <w:t>（二）培养规格</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_Toc17197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"_Toc12447" </w:instrText>
      </w:r>
      <w:r>
        <w:fldChar w:fldCharType="separate"/>
      </w:r>
      <w:r>
        <w:rPr>
          <w:rStyle w:val="18"/>
          <w:rFonts w:hint="eastAsia" w:ascii="宋体" w:hAnsi="宋体" w:eastAsia="宋体" w:cs="宋体"/>
          <w:color w:val="auto"/>
          <w:szCs w:val="21"/>
        </w:rPr>
        <w:t>六、课程设置</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_Toc12447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bCs/>
          <w:color w:val="auto"/>
          <w:szCs w:val="21"/>
        </w:rPr>
      </w:pPr>
      <w:r>
        <w:fldChar w:fldCharType="begin"/>
      </w:r>
      <w:r>
        <w:instrText xml:space="preserve"> HYPERLINK \l "_Toc5184" </w:instrText>
      </w:r>
      <w:r>
        <w:fldChar w:fldCharType="separate"/>
      </w:r>
      <w:r>
        <w:rPr>
          <w:rStyle w:val="18"/>
          <w:rFonts w:hint="eastAsia" w:ascii="宋体" w:hAnsi="宋体" w:eastAsia="宋体" w:cs="宋体"/>
          <w:bCs/>
          <w:color w:val="auto"/>
          <w:szCs w:val="21"/>
        </w:rPr>
        <w:t>（一）课程体系构建</w:t>
      </w:r>
      <w:r>
        <w:rPr>
          <w:rStyle w:val="18"/>
          <w:rFonts w:hint="eastAsia" w:ascii="宋体" w:hAnsi="宋体" w:eastAsia="宋体" w:cs="宋体"/>
          <w:bCs/>
          <w:color w:val="auto"/>
          <w:szCs w:val="21"/>
        </w:rPr>
        <w:tab/>
      </w:r>
      <w:r>
        <w:rPr>
          <w:rStyle w:val="18"/>
          <w:rFonts w:hint="eastAsia" w:ascii="宋体" w:hAnsi="宋体" w:eastAsia="宋体" w:cs="宋体"/>
          <w:bCs/>
          <w:color w:val="auto"/>
          <w:szCs w:val="21"/>
        </w:rPr>
        <w:fldChar w:fldCharType="begin"/>
      </w:r>
      <w:r>
        <w:rPr>
          <w:rStyle w:val="18"/>
          <w:rFonts w:hint="eastAsia" w:ascii="宋体" w:hAnsi="宋体" w:eastAsia="宋体" w:cs="宋体"/>
          <w:bCs/>
          <w:color w:val="auto"/>
          <w:szCs w:val="21"/>
        </w:rPr>
        <w:instrText xml:space="preserve"> PAGEREF _Toc5184 </w:instrText>
      </w:r>
      <w:r>
        <w:rPr>
          <w:rStyle w:val="18"/>
          <w:rFonts w:hint="eastAsia" w:ascii="宋体" w:hAnsi="宋体" w:eastAsia="宋体" w:cs="宋体"/>
          <w:bCs/>
          <w:color w:val="auto"/>
          <w:szCs w:val="21"/>
        </w:rPr>
        <w:fldChar w:fldCharType="separate"/>
      </w:r>
      <w:r>
        <w:rPr>
          <w:rStyle w:val="18"/>
          <w:rFonts w:hint="eastAsia" w:ascii="宋体" w:hAnsi="宋体" w:eastAsia="宋体" w:cs="宋体"/>
          <w:bCs/>
          <w:color w:val="auto"/>
          <w:szCs w:val="21"/>
        </w:rPr>
        <w:t>2</w:t>
      </w:r>
      <w:r>
        <w:rPr>
          <w:rStyle w:val="18"/>
          <w:rFonts w:hint="eastAsia" w:ascii="宋体" w:hAnsi="宋体" w:eastAsia="宋体" w:cs="宋体"/>
          <w:bCs/>
          <w:color w:val="auto"/>
          <w:szCs w:val="21"/>
        </w:rPr>
        <w:fldChar w:fldCharType="end"/>
      </w:r>
      <w:r>
        <w:rPr>
          <w:rStyle w:val="18"/>
          <w:rFonts w:hint="eastAsia" w:ascii="宋体" w:hAnsi="宋体" w:eastAsia="宋体" w:cs="宋体"/>
          <w:bCs/>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"_Toc29839" </w:instrText>
      </w:r>
      <w:r>
        <w:fldChar w:fldCharType="separate"/>
      </w:r>
      <w:r>
        <w:rPr>
          <w:rStyle w:val="18"/>
          <w:rFonts w:hint="eastAsia" w:ascii="宋体" w:hAnsi="宋体" w:eastAsia="宋体" w:cs="宋体"/>
          <w:color w:val="auto"/>
          <w:szCs w:val="21"/>
        </w:rPr>
        <w:t>（二）专业（技能）课程</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_Toc29839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6</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"_Toc2491" </w:instrText>
      </w:r>
      <w:r>
        <w:fldChar w:fldCharType="separate"/>
      </w:r>
      <w:r>
        <w:rPr>
          <w:rStyle w:val="18"/>
          <w:rFonts w:hint="eastAsia" w:ascii="宋体" w:hAnsi="宋体" w:eastAsia="宋体" w:cs="宋体"/>
          <w:color w:val="auto"/>
          <w:szCs w:val="21"/>
        </w:rPr>
        <w:t>七、 教学进程总体安排</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_Toc2491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"_Toc24796" </w:instrText>
      </w:r>
      <w:r>
        <w:fldChar w:fldCharType="separate"/>
      </w:r>
      <w:r>
        <w:rPr>
          <w:rStyle w:val="18"/>
          <w:rFonts w:hint="eastAsia" w:ascii="宋体" w:hAnsi="宋体" w:eastAsia="宋体" w:cs="宋体"/>
          <w:color w:val="auto"/>
          <w:szCs w:val="21"/>
        </w:rPr>
        <w:t>（一） 基本要求</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_Toc24796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"_Toc21384" </w:instrText>
      </w:r>
      <w:r>
        <w:fldChar w:fldCharType="separate"/>
      </w:r>
      <w:r>
        <w:rPr>
          <w:rStyle w:val="18"/>
          <w:rFonts w:hint="eastAsia" w:ascii="宋体" w:hAnsi="宋体" w:eastAsia="宋体" w:cs="宋体"/>
          <w:color w:val="auto"/>
          <w:szCs w:val="21"/>
        </w:rPr>
        <w:t>（二） 教学进度计划表</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_Toc21384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12</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"_Toc4153" </w:instrText>
      </w:r>
      <w:r>
        <w:fldChar w:fldCharType="separate"/>
      </w:r>
      <w:r>
        <w:rPr>
          <w:rStyle w:val="18"/>
          <w:rFonts w:hint="eastAsia" w:ascii="宋体" w:hAnsi="宋体" w:eastAsia="宋体" w:cs="宋体"/>
          <w:color w:val="auto"/>
          <w:szCs w:val="21"/>
        </w:rPr>
        <w:t>八、实施保障</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_Toc4153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16</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"_Toc16964" </w:instrText>
      </w:r>
      <w:r>
        <w:fldChar w:fldCharType="separate"/>
      </w:r>
      <w:r>
        <w:rPr>
          <w:rStyle w:val="18"/>
          <w:rFonts w:hint="eastAsia" w:ascii="宋体" w:hAnsi="宋体" w:eastAsia="宋体" w:cs="宋体"/>
          <w:color w:val="auto"/>
          <w:szCs w:val="21"/>
        </w:rPr>
        <w:t>（一）师资条件</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_Toc16964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16</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"_Toc22827" </w:instrText>
      </w:r>
      <w:r>
        <w:fldChar w:fldCharType="separate"/>
      </w:r>
      <w:r>
        <w:rPr>
          <w:rStyle w:val="18"/>
          <w:rFonts w:hint="eastAsia" w:ascii="宋体" w:hAnsi="宋体" w:eastAsia="宋体" w:cs="宋体"/>
          <w:color w:val="auto"/>
          <w:szCs w:val="21"/>
        </w:rPr>
        <w:t>（二）教学设施</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_Toc22827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16</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"_Toc4240" </w:instrText>
      </w:r>
      <w:r>
        <w:fldChar w:fldCharType="separate"/>
      </w:r>
      <w:r>
        <w:rPr>
          <w:rStyle w:val="18"/>
          <w:rFonts w:hint="eastAsia" w:ascii="宋体" w:hAnsi="宋体" w:eastAsia="宋体" w:cs="宋体"/>
          <w:color w:val="auto"/>
          <w:szCs w:val="21"/>
        </w:rPr>
        <w:t>（三） 教学资源</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_Toc4240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"_Toc12035" </w:instrText>
      </w:r>
      <w:r>
        <w:fldChar w:fldCharType="separate"/>
      </w:r>
      <w:r>
        <w:rPr>
          <w:rStyle w:val="18"/>
          <w:rFonts w:hint="eastAsia" w:ascii="宋体" w:hAnsi="宋体" w:eastAsia="宋体" w:cs="宋体"/>
          <w:color w:val="auto"/>
          <w:szCs w:val="21"/>
        </w:rPr>
        <w:t>（四）教学方法</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_Toc12035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"_Toc3701" </w:instrText>
      </w:r>
      <w:r>
        <w:fldChar w:fldCharType="separate"/>
      </w:r>
      <w:r>
        <w:rPr>
          <w:rStyle w:val="18"/>
          <w:rFonts w:hint="eastAsia" w:ascii="宋体" w:hAnsi="宋体" w:eastAsia="宋体" w:cs="宋体"/>
          <w:color w:val="auto"/>
          <w:szCs w:val="21"/>
        </w:rPr>
        <w:t>（五）学习评价</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_Toc3701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22</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"_Toc15711" </w:instrText>
      </w:r>
      <w:r>
        <w:fldChar w:fldCharType="separate"/>
      </w:r>
      <w:r>
        <w:rPr>
          <w:rStyle w:val="18"/>
          <w:rFonts w:hint="eastAsia" w:ascii="宋体" w:hAnsi="宋体" w:eastAsia="宋体" w:cs="宋体"/>
          <w:color w:val="auto"/>
          <w:szCs w:val="21"/>
        </w:rPr>
        <w:t>（六）质量管理</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_Toc15711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23</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0563C1"/>
          <w:szCs w:val="21"/>
        </w:rPr>
      </w:pPr>
      <w:r>
        <w:fldChar w:fldCharType="begin"/>
      </w:r>
      <w:r>
        <w:instrText xml:space="preserve"> HYPERLINK \l "_Toc593" </w:instrText>
      </w:r>
      <w:r>
        <w:fldChar w:fldCharType="separate"/>
      </w:r>
      <w:r>
        <w:rPr>
          <w:rStyle w:val="18"/>
          <w:rFonts w:hint="eastAsia" w:ascii="宋体" w:hAnsi="宋体" w:eastAsia="宋体" w:cs="宋体"/>
          <w:color w:val="auto"/>
          <w:szCs w:val="21"/>
        </w:rPr>
        <w:t>九、毕业要求</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_Toc593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24</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"_Toc21016" </w:instrText>
      </w:r>
      <w:r>
        <w:fldChar w:fldCharType="separate"/>
      </w:r>
      <w:r>
        <w:rPr>
          <w:rStyle w:val="18"/>
          <w:rFonts w:hint="eastAsia" w:ascii="宋体" w:hAnsi="宋体" w:eastAsia="宋体" w:cs="宋体"/>
          <w:color w:val="auto"/>
          <w:szCs w:val="21"/>
        </w:rPr>
        <w:t>十、附录</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_Toc21016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24</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"_Toc3036" </w:instrText>
      </w:r>
      <w:r>
        <w:fldChar w:fldCharType="separate"/>
      </w:r>
      <w:r>
        <w:rPr>
          <w:rStyle w:val="18"/>
          <w:rFonts w:hint="eastAsia" w:ascii="宋体" w:hAnsi="宋体" w:eastAsia="宋体" w:cs="宋体"/>
          <w:color w:val="auto"/>
          <w:szCs w:val="21"/>
        </w:rPr>
        <w:t>（一）编制依据</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_Toc3036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24</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pPr>
      <w:r>
        <w:fldChar w:fldCharType="begin"/>
      </w:r>
      <w:r>
        <w:instrText xml:space="preserve"> HYPERLINK \l "_Toc5233" </w:instrText>
      </w:r>
      <w:r>
        <w:fldChar w:fldCharType="separate"/>
      </w:r>
      <w:r>
        <w:rPr>
          <w:rStyle w:val="18"/>
          <w:rFonts w:hint="eastAsia" w:ascii="宋体" w:hAnsi="宋体" w:eastAsia="宋体" w:cs="宋体"/>
          <w:color w:val="auto"/>
          <w:szCs w:val="21"/>
        </w:rPr>
        <w:t>（二）方案特点</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_Toc5233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25</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Fonts w:ascii="宋体" w:hAnsi="宋体" w:eastAsia="宋体" w:cs="宋体"/>
          <w:b/>
          <w:bCs/>
          <w:kern w:val="1"/>
          <w:sz w:val="44"/>
          <w:szCs w:val="44"/>
        </w:rPr>
        <w:sectPr>
          <w:footerReference r:id="rId3" w:type="default"/>
          <w:pgSz w:w="11906" w:h="16838"/>
          <w:pgMar w:top="1440" w:right="1440" w:bottom="1440" w:left="1440" w:header="851" w:footer="992" w:gutter="0"/>
          <w:pgNumType w:start="1"/>
          <w:cols w:space="0" w:num="1"/>
          <w:docGrid w:type="lines" w:linePitch="312" w:charSpace="0"/>
        </w:sectPr>
      </w:pPr>
      <w:r>
        <w:fldChar w:fldCharType="end"/>
      </w:r>
      <w:bookmarkStart w:id="6" w:name="_Toc29508"/>
    </w:p>
    <w:bookmarkEnd w:id="5"/>
    <w:bookmarkEnd w:id="6"/>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7" w:name="_Toc27256"/>
      <w:r>
        <w:rPr>
          <w:rFonts w:hint="eastAsia" w:ascii="黑体" w:hAnsi="黑体" w:eastAsia="黑体" w:cs="黑体"/>
          <w:b/>
          <w:bCs/>
          <w:color w:val="000000" w:themeColor="text1"/>
          <w:sz w:val="32"/>
          <w:szCs w:val="32"/>
          <w14:textFill>
            <w14:solidFill>
              <w14:schemeClr w14:val="tx1"/>
            </w14:solidFill>
          </w14:textFill>
        </w:rPr>
        <w:t>一、专业名称与专业代码</w:t>
      </w:r>
      <w:bookmarkEnd w:id="7"/>
    </w:p>
    <w:p>
      <w:pPr>
        <w:spacing w:line="52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1.专业名称：</w:t>
      </w:r>
      <w:r>
        <w:rPr>
          <w:rFonts w:hint="eastAsia" w:ascii="仿宋" w:hAnsi="仿宋" w:eastAsia="仿宋" w:cs="仿宋"/>
          <w:color w:val="000000" w:themeColor="text1"/>
          <w:sz w:val="32"/>
          <w:szCs w:val="32"/>
          <w14:textFill>
            <w14:solidFill>
              <w14:schemeClr w14:val="tx1"/>
            </w14:solidFill>
          </w14:textFill>
        </w:rPr>
        <w:t>民族音乐与舞蹈</w:t>
      </w:r>
    </w:p>
    <w:p>
      <w:pPr>
        <w:spacing w:line="5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2.专业代码：</w:t>
      </w:r>
      <w:r>
        <w:rPr>
          <w:rFonts w:hint="eastAsia" w:ascii="仿宋" w:hAnsi="仿宋" w:eastAsia="仿宋" w:cs="仿宋"/>
          <w:sz w:val="32"/>
          <w:szCs w:val="32"/>
          <w:lang w:val="en-US" w:eastAsia="zh-CN"/>
        </w:rPr>
        <w:t>750301</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8" w:name="_Toc19181"/>
      <w:r>
        <w:rPr>
          <w:rFonts w:hint="eastAsia" w:ascii="黑体" w:hAnsi="黑体" w:eastAsia="黑体" w:cs="黑体"/>
          <w:b/>
          <w:bCs/>
          <w:color w:val="000000" w:themeColor="text1"/>
          <w:sz w:val="32"/>
          <w:szCs w:val="32"/>
          <w14:textFill>
            <w14:solidFill>
              <w14:schemeClr w14:val="tx1"/>
            </w14:solidFill>
          </w14:textFill>
        </w:rPr>
        <w:t>二、入学要求</w:t>
      </w:r>
      <w:bookmarkEnd w:id="8"/>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初中毕业生或具有同等学力者。</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9" w:name="_Toc31731"/>
      <w:r>
        <w:rPr>
          <w:rFonts w:hint="eastAsia" w:ascii="黑体" w:hAnsi="黑体" w:eastAsia="黑体" w:cs="黑体"/>
          <w:b/>
          <w:bCs/>
          <w:color w:val="000000" w:themeColor="text1"/>
          <w:sz w:val="32"/>
          <w:szCs w:val="32"/>
          <w14:textFill>
            <w14:solidFill>
              <w14:schemeClr w14:val="tx1"/>
            </w14:solidFill>
          </w14:textFill>
        </w:rPr>
        <w:t>三、修业年限</w:t>
      </w:r>
      <w:bookmarkEnd w:id="9"/>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bookmarkStart w:id="10" w:name="_Toc17884_WPSOffice_Level2"/>
      <w:bookmarkStart w:id="11" w:name="_Toc3565_WPSOffice_Level2"/>
      <w:bookmarkStart w:id="12" w:name="_Toc10053_WPSOffice_Level2"/>
      <w:bookmarkStart w:id="13" w:name="_Toc13343_WPSOffice_Level2"/>
      <w:r>
        <w:rPr>
          <w:rFonts w:hint="eastAsia" w:ascii="仿宋" w:hAnsi="仿宋" w:eastAsia="仿宋" w:cs="仿宋"/>
          <w:color w:val="000000" w:themeColor="text1"/>
          <w:sz w:val="28"/>
          <w:szCs w:val="28"/>
          <w14:textFill>
            <w14:solidFill>
              <w14:schemeClr w14:val="tx1"/>
            </w14:solidFill>
          </w14:textFill>
        </w:rPr>
        <w:t>三年</w:t>
      </w:r>
      <w:bookmarkEnd w:id="10"/>
      <w:bookmarkEnd w:id="11"/>
      <w:bookmarkEnd w:id="12"/>
      <w:bookmarkEnd w:id="13"/>
    </w:p>
    <w:p>
      <w:pPr>
        <w:numPr>
          <w:ilvl w:val="0"/>
          <w:numId w:val="1"/>
        </w:numPr>
        <w:spacing w:line="480" w:lineRule="atLeast"/>
        <w:ind w:firstLine="643" w:firstLineChars="200"/>
        <w:outlineLvl w:val="0"/>
        <w:rPr>
          <w:rFonts w:ascii="黑体" w:hAnsi="黑体" w:eastAsia="黑体" w:cs="黑体"/>
          <w:b/>
          <w:bCs/>
          <w:sz w:val="32"/>
          <w:szCs w:val="32"/>
        </w:rPr>
      </w:pPr>
      <w:bookmarkStart w:id="14" w:name="_Toc30442_WPSOffice_Level2"/>
      <w:bookmarkStart w:id="15" w:name="_Toc1496_WPSOffice_Level2"/>
      <w:bookmarkStart w:id="16" w:name="_Toc10525"/>
      <w:r>
        <w:rPr>
          <w:rFonts w:hint="eastAsia" w:ascii="黑体" w:hAnsi="黑体" w:eastAsia="黑体" w:cs="黑体"/>
          <w:b/>
          <w:bCs/>
          <w:sz w:val="32"/>
          <w:szCs w:val="32"/>
        </w:rPr>
        <w:t>职业</w:t>
      </w:r>
      <w:bookmarkEnd w:id="14"/>
      <w:bookmarkEnd w:id="15"/>
      <w:r>
        <w:rPr>
          <w:rFonts w:hint="eastAsia" w:ascii="黑体" w:hAnsi="黑体" w:eastAsia="黑体" w:cs="黑体"/>
          <w:b/>
          <w:bCs/>
          <w:sz w:val="32"/>
          <w:szCs w:val="32"/>
        </w:rPr>
        <w:t>面向</w:t>
      </w:r>
      <w:bookmarkEnd w:id="16"/>
    </w:p>
    <w:tbl>
      <w:tblPr>
        <w:tblStyle w:val="1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jc w:val="center"/>
              <w:rPr>
                <w:b/>
                <w:sz w:val="22"/>
              </w:rPr>
            </w:pPr>
            <w:r>
              <w:rPr>
                <w:rFonts w:hint="eastAsia"/>
                <w:b/>
                <w:sz w:val="22"/>
              </w:rPr>
              <w:t>所属专业大类（代码）</w:t>
            </w:r>
          </w:p>
        </w:tc>
        <w:tc>
          <w:tcPr>
            <w:tcW w:w="1414" w:type="dxa"/>
            <w:vAlign w:val="center"/>
          </w:tcPr>
          <w:p>
            <w:pPr>
              <w:jc w:val="center"/>
              <w:rPr>
                <w:b/>
                <w:sz w:val="22"/>
              </w:rPr>
            </w:pPr>
            <w:r>
              <w:rPr>
                <w:rFonts w:hint="eastAsia"/>
                <w:b/>
                <w:sz w:val="22"/>
              </w:rPr>
              <w:t>所属专业类</w:t>
            </w:r>
          </w:p>
          <w:p>
            <w:pPr>
              <w:jc w:val="center"/>
              <w:rPr>
                <w:b/>
                <w:sz w:val="22"/>
              </w:rPr>
            </w:pPr>
            <w:r>
              <w:rPr>
                <w:rFonts w:hint="eastAsia"/>
                <w:b/>
                <w:sz w:val="22"/>
              </w:rPr>
              <w:t>（代码）</w:t>
            </w:r>
          </w:p>
        </w:tc>
        <w:tc>
          <w:tcPr>
            <w:tcW w:w="1826" w:type="dxa"/>
            <w:vAlign w:val="center"/>
          </w:tcPr>
          <w:p>
            <w:pPr>
              <w:jc w:val="center"/>
              <w:rPr>
                <w:b/>
                <w:sz w:val="22"/>
              </w:rPr>
            </w:pPr>
            <w:r>
              <w:rPr>
                <w:rFonts w:hint="eastAsia"/>
                <w:b/>
                <w:sz w:val="22"/>
              </w:rPr>
              <w:t>对应行业</w:t>
            </w:r>
          </w:p>
        </w:tc>
        <w:tc>
          <w:tcPr>
            <w:tcW w:w="1756" w:type="dxa"/>
            <w:vAlign w:val="center"/>
          </w:tcPr>
          <w:p>
            <w:pPr>
              <w:jc w:val="center"/>
              <w:rPr>
                <w:b/>
                <w:sz w:val="22"/>
              </w:rPr>
            </w:pPr>
            <w:r>
              <w:rPr>
                <w:rFonts w:hint="eastAsia"/>
                <w:b/>
                <w:sz w:val="22"/>
              </w:rPr>
              <w:t>主要职业类别</w:t>
            </w:r>
          </w:p>
          <w:p>
            <w:pPr>
              <w:jc w:val="center"/>
              <w:rPr>
                <w:b/>
                <w:sz w:val="22"/>
              </w:rPr>
            </w:pPr>
            <w:r>
              <w:rPr>
                <w:rFonts w:hint="eastAsia"/>
                <w:b/>
                <w:sz w:val="22"/>
              </w:rPr>
              <w:t>（代码）</w:t>
            </w:r>
          </w:p>
        </w:tc>
        <w:tc>
          <w:tcPr>
            <w:tcW w:w="1560" w:type="dxa"/>
            <w:vAlign w:val="center"/>
          </w:tcPr>
          <w:p>
            <w:pPr>
              <w:jc w:val="center"/>
              <w:rPr>
                <w:b/>
                <w:sz w:val="22"/>
              </w:rPr>
            </w:pPr>
            <w:r>
              <w:rPr>
                <w:rFonts w:hint="eastAsia"/>
                <w:b/>
                <w:sz w:val="22"/>
              </w:rPr>
              <w:t>主要岗位类别</w:t>
            </w:r>
          </w:p>
        </w:tc>
        <w:tc>
          <w:tcPr>
            <w:tcW w:w="1801" w:type="dxa"/>
            <w:vAlign w:val="center"/>
          </w:tcPr>
          <w:p>
            <w:pPr>
              <w:jc w:val="center"/>
              <w:rPr>
                <w:b/>
                <w:sz w:val="22"/>
              </w:rPr>
            </w:pPr>
            <w:r>
              <w:rPr>
                <w:rFonts w:hint="eastAsia"/>
                <w:b/>
                <w:sz w:val="22"/>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1404" w:type="dxa"/>
            <w:vAlign w:val="center"/>
          </w:tcPr>
          <w:p>
            <w:pPr>
              <w:rPr>
                <w:sz w:val="22"/>
              </w:rPr>
            </w:pPr>
            <w:r>
              <w:rPr>
                <w:rFonts w:hint="eastAsia"/>
                <w:sz w:val="22"/>
              </w:rPr>
              <w:t>文化艺术类（14）</w:t>
            </w:r>
          </w:p>
        </w:tc>
        <w:tc>
          <w:tcPr>
            <w:tcW w:w="1414" w:type="dxa"/>
            <w:vAlign w:val="center"/>
          </w:tcPr>
          <w:p>
            <w:pPr>
              <w:jc w:val="left"/>
              <w:rPr>
                <w:sz w:val="22"/>
              </w:rPr>
            </w:pPr>
            <w:r>
              <w:rPr>
                <w:rFonts w:hint="eastAsia"/>
                <w:sz w:val="22"/>
              </w:rPr>
              <w:t>民族音乐与舞蹈（</w:t>
            </w:r>
            <w:r>
              <w:rPr>
                <w:rFonts w:hint="eastAsia"/>
                <w:sz w:val="22"/>
                <w:lang w:val="en-US" w:eastAsia="zh-CN"/>
              </w:rPr>
              <w:t>750301</w:t>
            </w:r>
            <w:r>
              <w:rPr>
                <w:rFonts w:hint="eastAsia"/>
                <w:sz w:val="22"/>
              </w:rPr>
              <w:t>）</w:t>
            </w:r>
          </w:p>
        </w:tc>
        <w:tc>
          <w:tcPr>
            <w:tcW w:w="1826" w:type="dxa"/>
            <w:vAlign w:val="center"/>
          </w:tcPr>
          <w:p>
            <w:pPr>
              <w:rPr>
                <w:sz w:val="40"/>
                <w:szCs w:val="44"/>
                <w:vertAlign w:val="subscript"/>
              </w:rPr>
            </w:pPr>
            <w:r>
              <w:rPr>
                <w:rFonts w:hint="eastAsia"/>
                <w:sz w:val="22"/>
              </w:rPr>
              <w:t>文化艺术业（</w:t>
            </w:r>
            <w:r>
              <w:rPr>
                <w:sz w:val="22"/>
              </w:rPr>
              <w:t>8</w:t>
            </w:r>
            <w:r>
              <w:rPr>
                <w:rFonts w:hint="eastAsia"/>
                <w:sz w:val="22"/>
              </w:rPr>
              <w:t>8</w:t>
            </w:r>
            <w:r>
              <w:rPr>
                <w:sz w:val="22"/>
              </w:rPr>
              <w:t>）</w:t>
            </w:r>
          </w:p>
        </w:tc>
        <w:tc>
          <w:tcPr>
            <w:tcW w:w="1756" w:type="dxa"/>
            <w:vAlign w:val="center"/>
          </w:tcPr>
          <w:p>
            <w:pPr>
              <w:jc w:val="left"/>
              <w:rPr>
                <w:sz w:val="22"/>
              </w:rPr>
            </w:pPr>
            <w:r>
              <w:rPr>
                <w:rFonts w:hint="eastAsia"/>
                <w:sz w:val="22"/>
              </w:rPr>
              <w:t>歌唱演员（</w:t>
            </w:r>
            <w:r>
              <w:rPr>
                <w:sz w:val="22"/>
              </w:rPr>
              <w:t>2-</w:t>
            </w:r>
            <w:r>
              <w:rPr>
                <w:rFonts w:hint="eastAsia"/>
                <w:sz w:val="22"/>
              </w:rPr>
              <w:t>10</w:t>
            </w:r>
            <w:r>
              <w:rPr>
                <w:sz w:val="22"/>
              </w:rPr>
              <w:t>-0</w:t>
            </w:r>
            <w:r>
              <w:rPr>
                <w:rFonts w:hint="eastAsia"/>
                <w:sz w:val="22"/>
              </w:rPr>
              <w:t>3</w:t>
            </w:r>
            <w:r>
              <w:rPr>
                <w:sz w:val="22"/>
              </w:rPr>
              <w:t>-0</w:t>
            </w:r>
            <w:r>
              <w:rPr>
                <w:rFonts w:hint="eastAsia"/>
                <w:sz w:val="22"/>
              </w:rPr>
              <w:t>6</w:t>
            </w:r>
            <w:r>
              <w:rPr>
                <w:sz w:val="22"/>
              </w:rPr>
              <w:t>）</w:t>
            </w:r>
          </w:p>
          <w:p>
            <w:pPr>
              <w:rPr>
                <w:sz w:val="22"/>
              </w:rPr>
            </w:pPr>
            <w:r>
              <w:rPr>
                <w:rFonts w:hint="eastAsia"/>
                <w:sz w:val="22"/>
              </w:rPr>
              <w:t>舞蹈演员</w:t>
            </w:r>
          </w:p>
          <w:p>
            <w:pPr>
              <w:rPr>
                <w:sz w:val="22"/>
              </w:rPr>
            </w:pPr>
            <w:r>
              <w:rPr>
                <w:rFonts w:hint="eastAsia"/>
                <w:sz w:val="22"/>
              </w:rPr>
              <w:t>（2</w:t>
            </w:r>
            <w:r>
              <w:rPr>
                <w:sz w:val="22"/>
              </w:rPr>
              <w:t>-10-03-0</w:t>
            </w:r>
            <w:r>
              <w:rPr>
                <w:rFonts w:hint="eastAsia"/>
                <w:sz w:val="22"/>
              </w:rPr>
              <w:t>3</w:t>
            </w:r>
            <w:r>
              <w:rPr>
                <w:sz w:val="22"/>
              </w:rPr>
              <w:t>）</w:t>
            </w:r>
          </w:p>
          <w:p>
            <w:pPr>
              <w:rPr>
                <w:sz w:val="22"/>
              </w:rPr>
            </w:pPr>
            <w:r>
              <w:rPr>
                <w:rFonts w:hint="eastAsia"/>
                <w:sz w:val="22"/>
              </w:rPr>
              <w:t>电影电视演员</w:t>
            </w:r>
          </w:p>
          <w:p>
            <w:pPr>
              <w:rPr>
                <w:sz w:val="22"/>
              </w:rPr>
            </w:pPr>
            <w:r>
              <w:rPr>
                <w:rFonts w:hint="eastAsia"/>
                <w:sz w:val="22"/>
              </w:rPr>
              <w:t>（2</w:t>
            </w:r>
            <w:r>
              <w:rPr>
                <w:sz w:val="22"/>
              </w:rPr>
              <w:t>-10-03-01）</w:t>
            </w:r>
          </w:p>
          <w:p>
            <w:pPr>
              <w:rPr>
                <w:sz w:val="22"/>
              </w:rPr>
            </w:pPr>
            <w:r>
              <w:rPr>
                <w:rFonts w:hint="eastAsia"/>
                <w:sz w:val="22"/>
              </w:rPr>
              <w:t>戏剧演员</w:t>
            </w:r>
          </w:p>
          <w:p>
            <w:pPr>
              <w:rPr>
                <w:sz w:val="22"/>
              </w:rPr>
            </w:pPr>
            <w:r>
              <w:rPr>
                <w:rFonts w:hint="eastAsia"/>
                <w:sz w:val="22"/>
              </w:rPr>
              <w:t>（2</w:t>
            </w:r>
            <w:r>
              <w:rPr>
                <w:sz w:val="22"/>
              </w:rPr>
              <w:t>-10-03-0</w:t>
            </w:r>
            <w:r>
              <w:rPr>
                <w:rFonts w:hint="eastAsia"/>
                <w:sz w:val="22"/>
              </w:rPr>
              <w:t>2</w:t>
            </w:r>
            <w:r>
              <w:rPr>
                <w:sz w:val="22"/>
              </w:rPr>
              <w:t>）</w:t>
            </w:r>
          </w:p>
        </w:tc>
        <w:tc>
          <w:tcPr>
            <w:tcW w:w="1560" w:type="dxa"/>
            <w:vAlign w:val="center"/>
          </w:tcPr>
          <w:p>
            <w:pPr>
              <w:rPr>
                <w:rFonts w:hint="eastAsia"/>
                <w:sz w:val="22"/>
              </w:rPr>
            </w:pPr>
            <w:r>
              <w:rPr>
                <w:rFonts w:hint="eastAsia"/>
                <w:sz w:val="22"/>
              </w:rPr>
              <w:t>歌唱演员岗位</w:t>
            </w:r>
          </w:p>
          <w:p>
            <w:pPr>
              <w:rPr>
                <w:sz w:val="22"/>
              </w:rPr>
            </w:pPr>
            <w:r>
              <w:rPr>
                <w:rFonts w:hint="eastAsia"/>
                <w:sz w:val="22"/>
              </w:rPr>
              <w:t>舞蹈演员岗位</w:t>
            </w:r>
          </w:p>
          <w:p>
            <w:pPr>
              <w:rPr>
                <w:sz w:val="22"/>
              </w:rPr>
            </w:pPr>
            <w:r>
              <w:rPr>
                <w:rFonts w:hint="eastAsia"/>
                <w:sz w:val="22"/>
              </w:rPr>
              <w:t>电影电视岗位</w:t>
            </w:r>
          </w:p>
          <w:p>
            <w:pPr>
              <w:rPr>
                <w:sz w:val="22"/>
              </w:rPr>
            </w:pPr>
            <w:r>
              <w:rPr>
                <w:rFonts w:hint="eastAsia"/>
                <w:sz w:val="22"/>
              </w:rPr>
              <w:t>戏剧演员岗位</w:t>
            </w:r>
          </w:p>
        </w:tc>
        <w:tc>
          <w:tcPr>
            <w:tcW w:w="1801" w:type="dxa"/>
            <w:vAlign w:val="center"/>
          </w:tcPr>
          <w:p>
            <w:pPr>
              <w:jc w:val="center"/>
              <w:rPr>
                <w:rFonts w:hint="eastAsia"/>
                <w:sz w:val="22"/>
              </w:rPr>
            </w:pPr>
            <w:r>
              <w:rPr>
                <w:rFonts w:hint="eastAsia"/>
                <w:sz w:val="22"/>
              </w:rPr>
              <w:t>歌唱演员</w:t>
            </w:r>
          </w:p>
          <w:p>
            <w:pPr>
              <w:jc w:val="center"/>
              <w:rPr>
                <w:sz w:val="22"/>
              </w:rPr>
            </w:pPr>
            <w:r>
              <w:rPr>
                <w:rFonts w:hint="eastAsia"/>
                <w:sz w:val="22"/>
              </w:rPr>
              <w:t>舞蹈演员</w:t>
            </w:r>
          </w:p>
          <w:p>
            <w:pPr>
              <w:jc w:val="center"/>
              <w:rPr>
                <w:sz w:val="22"/>
              </w:rPr>
            </w:pPr>
            <w:r>
              <w:rPr>
                <w:rFonts w:hint="eastAsia"/>
                <w:sz w:val="22"/>
              </w:rPr>
              <w:t>演员证</w:t>
            </w:r>
          </w:p>
          <w:p>
            <w:pPr>
              <w:jc w:val="center"/>
              <w:rPr>
                <w:sz w:val="22"/>
              </w:rPr>
            </w:pPr>
          </w:p>
        </w:tc>
      </w:tr>
    </w:tbl>
    <w:p>
      <w:pPr>
        <w:spacing w:line="480" w:lineRule="atLeast"/>
        <w:outlineLvl w:val="0"/>
        <w:rPr>
          <w:rFonts w:ascii="黑体" w:hAnsi="黑体" w:eastAsia="黑体" w:cs="黑体"/>
          <w:b/>
          <w:bCs/>
          <w:color w:val="FF0000"/>
          <w:sz w:val="32"/>
          <w:szCs w:val="32"/>
        </w:rPr>
      </w:pP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17" w:name="_Toc31391"/>
      <w:r>
        <w:rPr>
          <w:rFonts w:hint="eastAsia" w:ascii="黑体" w:hAnsi="黑体" w:eastAsia="黑体" w:cs="黑体"/>
          <w:b/>
          <w:bCs/>
          <w:color w:val="000000" w:themeColor="text1"/>
          <w:sz w:val="32"/>
          <w:szCs w:val="32"/>
          <w14:textFill>
            <w14:solidFill>
              <w14:schemeClr w14:val="tx1"/>
            </w14:solidFill>
          </w14:textFill>
        </w:rPr>
        <w:t>五、培养目标与培养规格</w:t>
      </w:r>
      <w:bookmarkEnd w:id="17"/>
      <w:r>
        <w:rPr>
          <w:rFonts w:hint="eastAsia" w:ascii="黑体" w:hAnsi="黑体" w:eastAsia="黑体" w:cs="黑体"/>
          <w:b/>
          <w:bCs/>
          <w:color w:val="000000" w:themeColor="text1"/>
          <w:sz w:val="32"/>
          <w:szCs w:val="32"/>
          <w14:textFill>
            <w14:solidFill>
              <w14:schemeClr w14:val="tx1"/>
            </w14:solidFill>
          </w14:textFill>
        </w:rPr>
        <w:t xml:space="preserve"> </w:t>
      </w:r>
    </w:p>
    <w:p>
      <w:pPr>
        <w:widowControl/>
        <w:spacing w:line="520" w:lineRule="exact"/>
        <w:ind w:firstLine="643" w:firstLineChars="200"/>
        <w:outlineLvl w:val="1"/>
        <w:rPr>
          <w:rFonts w:ascii="楷体" w:hAnsi="楷体" w:eastAsia="楷体" w:cs="楷体"/>
          <w:b/>
          <w:bCs/>
          <w:sz w:val="32"/>
          <w:szCs w:val="32"/>
        </w:rPr>
      </w:pPr>
      <w:bookmarkStart w:id="18" w:name="_Toc28168"/>
      <w:r>
        <w:rPr>
          <w:rFonts w:hint="eastAsia" w:ascii="楷体" w:hAnsi="楷体" w:eastAsia="楷体" w:cs="楷体"/>
          <w:b/>
          <w:bCs/>
          <w:sz w:val="32"/>
          <w:szCs w:val="32"/>
        </w:rPr>
        <w:t>（一）培养目标</w:t>
      </w:r>
      <w:bookmarkEnd w:id="18"/>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本专业贯彻执行党的教育方针，坚持立德树人，面向民族地区文化艺术类等服务行业，培养从事歌唱演员、舞蹈演员、戏剧演员等工作领域，德智体美劳全面发展的复合型高素质劳动者和技能型人才。</w:t>
      </w:r>
    </w:p>
    <w:p>
      <w:pPr>
        <w:widowControl/>
        <w:spacing w:line="520" w:lineRule="exact"/>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 xml:space="preserve"> </w:t>
      </w:r>
      <w:bookmarkStart w:id="19" w:name="_Toc17197"/>
      <w:r>
        <w:rPr>
          <w:rFonts w:hint="eastAsia" w:ascii="楷体" w:hAnsi="楷体" w:eastAsia="楷体" w:cs="楷体"/>
          <w:b/>
          <w:bCs/>
          <w:sz w:val="32"/>
          <w:szCs w:val="32"/>
        </w:rPr>
        <w:t>（二）培养规格</w:t>
      </w:r>
      <w:bookmarkEnd w:id="19"/>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bookmarkStart w:id="20" w:name="_Toc35957554"/>
      <w:bookmarkStart w:id="21" w:name="_Toc8058"/>
      <w:bookmarkStart w:id="22" w:name="_Toc5021"/>
      <w:bookmarkStart w:id="23" w:name="_Toc24546_WPSOffice_Level2"/>
      <w:r>
        <w:rPr>
          <w:rFonts w:hint="eastAsia" w:ascii="仿宋" w:hAnsi="仿宋" w:eastAsia="仿宋" w:cs="仿宋"/>
          <w:bCs/>
          <w:sz w:val="28"/>
          <w:szCs w:val="28"/>
          <w:lang w:val="en-US" w:eastAsia="zh-CN"/>
        </w:rPr>
        <w:t>根据国家相关教育要求和市场需求，本专业毕业生应具有良好的职业素养，掌握必须的专业知识和技能，适应社会服务社会。</w:t>
      </w:r>
      <w:bookmarkEnd w:id="20"/>
      <w:bookmarkEnd w:id="21"/>
      <w:bookmarkEnd w:id="22"/>
    </w:p>
    <w:p>
      <w:pPr>
        <w:pStyle w:val="3"/>
        <w:widowControl/>
        <w:spacing w:before="100" w:after="80" w:line="520" w:lineRule="exact"/>
        <w:ind w:firstLine="643" w:firstLineChars="200"/>
        <w:rPr>
          <w:rFonts w:hint="eastAsia" w:ascii="Calibri" w:hAnsi="Calibri" w:eastAsia="仿宋" w:cs="Times New Roman"/>
          <w:bCs/>
          <w:szCs w:val="32"/>
          <w:lang w:val="en-US" w:eastAsia="zh-CN"/>
        </w:rPr>
      </w:pPr>
      <w:bookmarkStart w:id="24" w:name="_Toc16401"/>
      <w:r>
        <w:rPr>
          <w:rFonts w:hint="eastAsia" w:ascii="Calibri" w:hAnsi="Calibri" w:eastAsia="仿宋" w:cs="Times New Roman"/>
          <w:bCs/>
          <w:szCs w:val="32"/>
        </w:rPr>
        <w:t>素</w:t>
      </w:r>
      <w:bookmarkEnd w:id="23"/>
      <w:bookmarkEnd w:id="24"/>
      <w:r>
        <w:rPr>
          <w:rFonts w:hint="eastAsia" w:ascii="Calibri" w:hAnsi="Calibri" w:eastAsia="仿宋" w:cs="Times New Roman"/>
          <w:bCs/>
          <w:szCs w:val="32"/>
          <w:lang w:val="en-US" w:eastAsia="zh-CN"/>
        </w:rPr>
        <w:t>质</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 热爱文化艺术，遵守党和国家的民族政策与法律法规，传承优秀的民族文化；</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 具有刻苦学习、顽强训练、团队协作的精神；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 具有一定的爱岗敬业、踏实肯干的职业精神，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 具有一定发现、分析和解决问题的基本能力；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 具有良好的职业道德，能自觉遵守行业法规、规范和企业规章制度；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 具有正确的文艺观和审美观，自觉坚持为人民服务、为社会主义服务；</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 具有良好的健康体魄和心理素质。</w:t>
      </w:r>
    </w:p>
    <w:p>
      <w:pPr>
        <w:pStyle w:val="3"/>
        <w:widowControl/>
        <w:spacing w:before="100" w:after="80" w:line="520" w:lineRule="exact"/>
        <w:ind w:firstLine="643" w:firstLineChars="200"/>
        <w:rPr>
          <w:rFonts w:ascii="Calibri" w:hAnsi="Calibri" w:eastAsia="仿宋" w:cs="Times New Roman"/>
          <w:bCs/>
          <w:szCs w:val="32"/>
        </w:rPr>
      </w:pPr>
      <w:bookmarkStart w:id="25" w:name="_Toc29987"/>
      <w:r>
        <w:rPr>
          <w:rFonts w:hint="eastAsia" w:ascii="Calibri" w:hAnsi="Calibri" w:eastAsia="仿宋" w:cs="Times New Roman"/>
          <w:bCs/>
          <w:szCs w:val="32"/>
        </w:rPr>
        <w:t>知识</w:t>
      </w:r>
      <w:bookmarkEnd w:id="25"/>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1.掌握基本乐理在专业领域的运用，具备相当的简谱或线谱视唱与音乐听辨听写能力。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2.掌握一定的民族音乐理论和基础知识，尤其是我国民族音乐的脉络。</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3.掌握合唱与指挥的基本知识和技能。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4.掌握民族舞蹈的语汇，呈现艺术作品的表演能力。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5.掌握初步的艺术审美和舞蹈鉴赏能力。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6.掌握民族舞蹈的基本特点和基础理论。</w:t>
      </w:r>
    </w:p>
    <w:p>
      <w:pPr>
        <w:spacing w:line="480" w:lineRule="atLeast"/>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b/>
          <w:color w:val="000000" w:themeColor="text1"/>
          <w:sz w:val="32"/>
          <w:szCs w:val="32"/>
          <w:lang w:val="en-US" w:eastAsia="zh-CN"/>
          <w14:textFill>
            <w14:solidFill>
              <w14:schemeClr w14:val="tx1"/>
            </w14:solidFill>
          </w14:textFill>
        </w:rPr>
        <w:t>技</w:t>
      </w:r>
      <w:r>
        <w:rPr>
          <w:rFonts w:hint="eastAsia" w:ascii="仿宋" w:hAnsi="仿宋" w:eastAsia="仿宋" w:cs="仿宋"/>
          <w:b/>
          <w:color w:val="000000" w:themeColor="text1"/>
          <w:sz w:val="32"/>
          <w:szCs w:val="32"/>
          <w14:textFill>
            <w14:solidFill>
              <w14:schemeClr w14:val="tx1"/>
            </w14:solidFill>
          </w14:textFill>
        </w:rPr>
        <w:t>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1.掌握民族音乐的基本理论与发声技术。</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2.能够熟练的演唱民族声乐作品，通过控制形体美及灵活运用舞台艺术完美地展现、传达美，使音乐更具魅力。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3.掌握民族舞蹈的基础理论和舞蹈技术。</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4.能够熟练地跳出主要的民族舞蹈曲目，为民族舞蹈的传承发展基础。</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26" w:name="_Toc12447"/>
      <w:r>
        <w:rPr>
          <w:rFonts w:hint="eastAsia" w:ascii="黑体" w:hAnsi="黑体" w:eastAsia="黑体" w:cs="黑体"/>
          <w:b/>
          <w:bCs/>
          <w:color w:val="000000" w:themeColor="text1"/>
          <w:sz w:val="32"/>
          <w:szCs w:val="32"/>
          <w14:textFill>
            <w14:solidFill>
              <w14:schemeClr w14:val="tx1"/>
            </w14:solidFill>
          </w14:textFill>
        </w:rPr>
        <w:t>六、课程设置</w:t>
      </w:r>
      <w:bookmarkEnd w:id="26"/>
      <w:r>
        <w:rPr>
          <w:rFonts w:hint="eastAsia" w:ascii="黑体" w:hAnsi="黑体" w:eastAsia="黑体" w:cs="黑体"/>
          <w:b/>
          <w:bCs/>
          <w:color w:val="000000" w:themeColor="text1"/>
          <w:sz w:val="32"/>
          <w:szCs w:val="32"/>
          <w:lang w:val="en-US" w:eastAsia="zh-CN"/>
          <w14:textFill>
            <w14:solidFill>
              <w14:schemeClr w14:val="tx1"/>
            </w14:solidFill>
          </w14:textFill>
        </w:rPr>
        <w:t>及要求</w:t>
      </w:r>
      <w:r>
        <w:rPr>
          <w:rFonts w:hint="eastAsia" w:ascii="黑体" w:hAnsi="黑体" w:eastAsia="黑体" w:cs="黑体"/>
          <w:b/>
          <w:bCs/>
          <w:color w:val="000000" w:themeColor="text1"/>
          <w:sz w:val="32"/>
          <w:szCs w:val="32"/>
          <w14:textFill>
            <w14:solidFill>
              <w14:schemeClr w14:val="tx1"/>
            </w14:solidFill>
          </w14:textFill>
        </w:rPr>
        <w:t xml:space="preserve">  </w:t>
      </w:r>
      <w:bookmarkStart w:id="27" w:name="_Toc5648_WPSOffice_Level2"/>
      <w:bookmarkStart w:id="28" w:name="_Toc16252_WPSOffice_Level2"/>
      <w:bookmarkStart w:id="29" w:name="_Toc15764_WPSOffice_Level2"/>
    </w:p>
    <w:p>
      <w:pPr>
        <w:spacing w:line="480" w:lineRule="atLeast"/>
        <w:ind w:firstLine="643" w:firstLineChars="200"/>
        <w:outlineLvl w:val="1"/>
        <w:rPr>
          <w:rFonts w:ascii="仿宋" w:hAnsi="仿宋" w:eastAsia="仿宋" w:cs="仿宋"/>
          <w:color w:val="000000" w:themeColor="text1"/>
          <w:sz w:val="28"/>
          <w:szCs w:val="28"/>
          <w14:textFill>
            <w14:solidFill>
              <w14:schemeClr w14:val="tx1"/>
            </w14:solidFill>
          </w14:textFill>
        </w:rPr>
      </w:pPr>
      <w:bookmarkStart w:id="30" w:name="_Toc5184"/>
      <w:r>
        <w:rPr>
          <w:rFonts w:hint="eastAsia" w:ascii="楷体" w:hAnsi="楷体" w:eastAsia="楷体" w:cs="楷体"/>
          <w:b/>
          <w:bCs/>
          <w:color w:val="000000" w:themeColor="text1"/>
          <w:sz w:val="32"/>
          <w:szCs w:val="32"/>
          <w14:textFill>
            <w14:solidFill>
              <w14:schemeClr w14:val="tx1"/>
            </w14:solidFill>
          </w14:textFill>
        </w:rPr>
        <w:t>（一）课程体系构建</w:t>
      </w:r>
      <w:bookmarkEnd w:id="27"/>
      <w:bookmarkEnd w:id="28"/>
      <w:bookmarkEnd w:id="29"/>
      <w:bookmarkEnd w:id="30"/>
      <w:r>
        <w:rPr>
          <w:rFonts w:hint="eastAsia" w:ascii="楷体" w:hAnsi="楷体" w:eastAsia="楷体" w:cs="楷体"/>
          <w:b/>
          <w:bCs/>
          <w:color w:val="000000" w:themeColor="text1"/>
          <w:sz w:val="32"/>
          <w:szCs w:val="32"/>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kern w:val="1"/>
          <w:sz w:val="24"/>
          <w:lang w:val="en-US" w:eastAsia="zh-CN"/>
        </w:rPr>
      </w:pPr>
      <w:r>
        <w:rPr>
          <w:rFonts w:hint="eastAsia" w:ascii="仿宋" w:hAnsi="仿宋" w:eastAsia="仿宋" w:cs="仿宋"/>
          <w:bCs/>
          <w:sz w:val="28"/>
          <w:szCs w:val="28"/>
          <w:lang w:val="en-US" w:eastAsia="zh-CN"/>
        </w:rPr>
        <w:t>本专业课程设置分为公共基础课和专业技能课。公共基础课包括德育课，文化课，体育与健康，以及其他自然科学类基础课。专业技能课包括专业基础课、专业核心课等，其中实习实训是专业技能课教学的重要内容，含校内外实训、认知实习、跟岗实习和顶岗实习等多种形式。</w:t>
      </w:r>
    </w:p>
    <w:p>
      <w:pPr>
        <w:widowControl/>
        <w:adjustRightInd w:val="0"/>
        <w:snapToGrid w:val="0"/>
        <w:spacing w:line="480" w:lineRule="exact"/>
        <w:jc w:val="cente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lang w:val="en-US" w:eastAsia="zh-CN"/>
        </w:rPr>
        <w:t>表</w:t>
      </w:r>
      <w:r>
        <w:rPr>
          <w:rFonts w:hint="eastAsia" w:ascii="仿宋" w:hAnsi="仿宋" w:eastAsia="仿宋" w:cs="仿宋"/>
          <w:kern w:val="1"/>
          <w:sz w:val="24"/>
        </w:rPr>
        <w:t>1：课程体系构建图</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945"/>
        <w:gridCol w:w="1245"/>
        <w:gridCol w:w="5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ind w:firstLine="480"/>
              <w:jc w:val="center"/>
              <w:rPr>
                <w:rFonts w:hAnsi="仿宋"/>
                <w:sz w:val="24"/>
                <w:szCs w:val="24"/>
              </w:rPr>
            </w:pPr>
            <w:r>
              <w:rPr>
                <w:rFonts w:hint="eastAsia" w:ascii="仿宋" w:hAnsi="仿宋" w:eastAsia="仿宋" w:cs="仿宋"/>
                <w:color w:val="000000"/>
                <w:szCs w:val="21"/>
                <w:lang w:eastAsia="zh-CN"/>
              </w:rPr>
              <w:t>课课程结构</w:t>
            </w:r>
          </w:p>
        </w:tc>
        <w:tc>
          <w:tcPr>
            <w:tcW w:w="7988" w:type="dxa"/>
            <w:gridSpan w:val="3"/>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3"/>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认知实习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3"/>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跟岗实习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3"/>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534" w:type="dxa"/>
            <w:vMerge w:val="continue"/>
            <w:vAlign w:val="center"/>
          </w:tcPr>
          <w:p>
            <w:pPr>
              <w:ind w:firstLine="480"/>
              <w:rPr>
                <w:rFonts w:hAnsi="仿宋"/>
                <w:sz w:val="24"/>
                <w:szCs w:val="24"/>
              </w:rPr>
            </w:pPr>
          </w:p>
        </w:tc>
        <w:tc>
          <w:tcPr>
            <w:tcW w:w="945" w:type="dxa"/>
            <w:vMerge w:val="restart"/>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专业课</w:t>
            </w: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rPr>
              <w:t>专业基础课</w:t>
            </w:r>
          </w:p>
        </w:tc>
        <w:tc>
          <w:tcPr>
            <w:tcW w:w="5798"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基本乐理、视唱练耳、钢琴基础训练、普通话、舞蹈基础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rPr>
              <w:t>专业核心课</w:t>
            </w:r>
          </w:p>
        </w:tc>
        <w:tc>
          <w:tcPr>
            <w:tcW w:w="5798"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视唱练耳、民族民间音乐、中外声乐史、钢琴基础训练、合唱与指挥、钢琴即兴伴奏、声乐</w:t>
            </w:r>
          </w:p>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芭蕾基训、舞蹈编导、中国古典身韵、舞蹈剧目、中国民族民间舞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534" w:type="dxa"/>
            <w:vMerge w:val="continue"/>
            <w:vAlign w:val="center"/>
          </w:tcPr>
          <w:p>
            <w:pPr>
              <w:ind w:firstLine="480"/>
              <w:rPr>
                <w:rFonts w:hAnsi="仿宋"/>
                <w:sz w:val="24"/>
                <w:szCs w:val="24"/>
              </w:rPr>
            </w:pPr>
          </w:p>
        </w:tc>
        <w:tc>
          <w:tcPr>
            <w:tcW w:w="945" w:type="dxa"/>
            <w:vMerge w:val="restart"/>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公共课</w:t>
            </w: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rPr>
              <w:t>公共基础课</w:t>
            </w:r>
          </w:p>
        </w:tc>
        <w:tc>
          <w:tcPr>
            <w:tcW w:w="5798"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中国特色社会主义、心理健康与职业生涯、哲学与人生、职业道德与法律、语文、历史、数学、英语、计算机应用基础、体育与健康、美术、物理、军训、劳动教育、</w:t>
            </w:r>
            <w:r>
              <w:rPr>
                <w:rFonts w:hint="eastAsia" w:ascii="仿宋" w:hAnsi="仿宋" w:eastAsia="仿宋" w:cs="仿宋"/>
                <w:i w:val="0"/>
                <w:color w:val="000000"/>
                <w:kern w:val="0"/>
                <w:sz w:val="21"/>
                <w:szCs w:val="21"/>
                <w:u w:val="none"/>
                <w:lang w:val="en-US" w:eastAsia="zh-CN" w:bidi="ar"/>
              </w:rPr>
              <w:t>贵州省生态文明读本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eastAsia="zh-CN"/>
              </w:rPr>
              <w:t>限选课</w:t>
            </w:r>
          </w:p>
        </w:tc>
        <w:tc>
          <w:tcPr>
            <w:tcW w:w="5798"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themeColor="text1"/>
                <w:szCs w:val="21"/>
                <w:lang w:eastAsia="zh-CN"/>
                <w14:textFill>
                  <w14:solidFill>
                    <w14:schemeClr w14:val="tx1"/>
                  </w14:solidFill>
                </w14:textFill>
              </w:rPr>
              <w:t>职场应用写作与交流</w:t>
            </w:r>
            <w:r>
              <w:rPr>
                <w:rFonts w:hint="eastAsia" w:ascii="仿宋" w:hAnsi="仿宋" w:eastAsia="仿宋" w:cs="仿宋"/>
                <w:color w:val="000000"/>
                <w:szCs w:val="21"/>
                <w:lang w:val="en-US" w:eastAsia="zh-CN"/>
              </w:rPr>
              <w:t>、数学（下）、英语口语、球类运动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534" w:type="dxa"/>
            <w:vAlign w:val="center"/>
          </w:tcPr>
          <w:p>
            <w:pPr>
              <w:ind w:firstLine="480"/>
              <w:rPr>
                <w:rFonts w:hAnsi="仿宋"/>
                <w:sz w:val="24"/>
                <w:szCs w:val="24"/>
              </w:rPr>
            </w:pPr>
          </w:p>
        </w:tc>
        <w:tc>
          <w:tcPr>
            <w:tcW w:w="945" w:type="dxa"/>
            <w:vAlign w:val="center"/>
          </w:tcPr>
          <w:p>
            <w:pPr>
              <w:jc w:val="left"/>
              <w:rPr>
                <w:rFonts w:hint="eastAsia" w:ascii="仿宋" w:hAnsi="仿宋" w:eastAsia="仿宋" w:cs="仿宋"/>
                <w:color w:val="000000"/>
                <w:szCs w:val="21"/>
              </w:rPr>
            </w:pPr>
          </w:p>
        </w:tc>
        <w:tc>
          <w:tcPr>
            <w:tcW w:w="1245" w:type="dxa"/>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公选课</w:t>
            </w:r>
          </w:p>
        </w:tc>
        <w:tc>
          <w:tcPr>
            <w:tcW w:w="5798"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外国历史、中华优秀传统文化、自然科学基础、就业指导与创业教育、贵州省情、法治意识教育、化学</w:t>
            </w:r>
          </w:p>
        </w:tc>
      </w:tr>
    </w:tbl>
    <w:p>
      <w:pPr>
        <w:spacing w:line="480" w:lineRule="atLeast"/>
        <w:rPr>
          <w:rFonts w:ascii="楷体" w:hAnsi="楷体" w:eastAsia="楷体" w:cs="楷体"/>
          <w:b/>
          <w:bCs/>
          <w:color w:val="000000" w:themeColor="text1"/>
          <w:sz w:val="32"/>
          <w:szCs w:val="32"/>
          <w14:textFill>
            <w14:solidFill>
              <w14:schemeClr w14:val="tx1"/>
            </w14:solidFill>
          </w14:textFill>
        </w:rPr>
      </w:pPr>
      <w:bookmarkStart w:id="31" w:name="_Toc10428_WPSOffice_Level2"/>
      <w:bookmarkStart w:id="32" w:name="_Toc1081_WPSOffice_Level2"/>
      <w:bookmarkStart w:id="33" w:name="_Toc16605_WPSOffice_Level2"/>
    </w:p>
    <w:bookmarkEnd w:id="31"/>
    <w:bookmarkEnd w:id="32"/>
    <w:p>
      <w:pPr>
        <w:numPr>
          <w:ilvl w:val="0"/>
          <w:numId w:val="0"/>
        </w:numPr>
        <w:spacing w:line="480" w:lineRule="atLeast"/>
        <w:ind w:firstLine="321" w:firstLineChars="100"/>
        <w:rPr>
          <w:rFonts w:ascii="仿宋" w:hAnsi="仿宋" w:eastAsia="仿宋" w:cs="仿宋"/>
          <w:color w:val="000000" w:themeColor="text1"/>
          <w:sz w:val="28"/>
          <w:szCs w:val="28"/>
          <w14:textFill>
            <w14:solidFill>
              <w14:schemeClr w14:val="tx1"/>
            </w14:solidFill>
          </w14:textFill>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rPr>
        <w:t>公共基础课程</w:t>
      </w:r>
      <w:bookmarkEnd w:id="33"/>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2</w:t>
      </w:r>
      <w:r>
        <w:rPr>
          <w:rFonts w:hint="eastAsia" w:ascii="仿宋" w:hAnsi="仿宋" w:eastAsia="仿宋" w:cs="仿宋"/>
          <w:kern w:val="1"/>
          <w:sz w:val="24"/>
        </w:rPr>
        <w:t>：公共基础课程</w:t>
      </w:r>
    </w:p>
    <w:tbl>
      <w:tblPr>
        <w:tblStyle w:val="1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908"/>
        <w:gridCol w:w="4920"/>
        <w:gridCol w:w="804"/>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1908"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4920"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80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80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中国特色社会主义</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依据《中等职业学校中国特色社会主义课程标准》开设，并与专业实际和行业发展密切结合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2</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心理健康与</w:t>
            </w:r>
            <w:r>
              <w:rPr>
                <w:rFonts w:hint="eastAsia" w:ascii="仿宋" w:hAnsi="仿宋" w:eastAsia="仿宋" w:cs="仿宋"/>
                <w:color w:val="000000"/>
                <w:szCs w:val="21"/>
              </w:rPr>
              <w:t>职业生涯</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依据《中等职业学校心理健康课程标准》开设，并与专业实际和行业发展密切结合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3</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哲学与人生</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依据《中等职业学校哲学与人生课程标准》开设，并与专业实际和行业发展密切结合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职业道德与法律</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依据《中等职业学校职业道德与法律课程标准》开设，并与专业实际和行业发展密切结合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5</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语文</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依据《中等职业学校语文课程标准》开设，并注重在职业模块的教学内容中体现专业特色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144</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6</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历史</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依据《中等职业学校历史课程标准》开设，并与专业实际和行业发展密切结合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7</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数学</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依据《中等职业学校数学课程标准》开设，并注重在职业模块的教学内容中体现专业特色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8</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英语</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依据《中等职业学校英语课程标准》开设，并注重在职业模块的教学内容中体现专业特色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9</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计算机应用基础</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依据《中等职业学校计算机应用基础课程标准》开设，并注重在职业模块的教学内容中体现专业特色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10</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体育与健康</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依据《中等职业学校体育与健康教学课程标准》开设。并注重在职业模块的教学内容中体现专业特色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11</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美术</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依据《中等职业学校美术课程标准》开设，并与专业实际和行业发展密切结合。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12</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物理</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依据《中等职业学校物理课程标准》开设，并与专业实际和行业发展密切结合。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13</w:t>
            </w:r>
          </w:p>
        </w:tc>
        <w:tc>
          <w:tcPr>
            <w:tcW w:w="1908" w:type="dxa"/>
            <w:vAlign w:val="center"/>
          </w:tcPr>
          <w:p>
            <w:pPr>
              <w:jc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贵州省生态文明读本</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依据《中等职业学校物理课程标准》开设，并与专业实际和行业发展密切结合。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18</w:t>
            </w: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14</w:t>
            </w:r>
          </w:p>
        </w:tc>
        <w:tc>
          <w:tcPr>
            <w:tcW w:w="1908" w:type="dxa"/>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军训</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使学生就学期间履行兵役义务，接受国防教育，激发爱国热情，树立革命英雄主义精神，增强国防观念和组织性、纪律性，掌握基本的军事知识和技能，为中国人民解放军训练后备兵员和培养军官打好基础。</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58</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15</w:t>
            </w:r>
          </w:p>
        </w:tc>
        <w:tc>
          <w:tcPr>
            <w:tcW w:w="1908"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劳动教育</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深入开展习近平新时代中国特色社会主义思想教育，强化理想信念和社会主义核心价值观教育，加强中华优秀传统文化、革命文化和社会主义先进文化教育。</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lang w:val="en-US" w:eastAsia="zh-CN"/>
              </w:rPr>
            </w:pPr>
            <w:r>
              <w:rPr>
                <w:rFonts w:hint="eastAsia" w:ascii="仿宋" w:hAnsi="仿宋" w:eastAsia="仿宋" w:cs="仿宋"/>
                <w:i w:val="0"/>
                <w:color w:val="000000"/>
                <w:kern w:val="0"/>
                <w:sz w:val="21"/>
                <w:szCs w:val="21"/>
                <w:u w:val="none"/>
                <w:lang w:val="en-US" w:eastAsia="zh-CN" w:bidi="ar"/>
              </w:rPr>
              <w:t>58</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szCs w:val="21"/>
                <w:lang w:val="en-US" w:eastAsia="zh-CN"/>
              </w:rPr>
              <w:t>16</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合计</w:t>
            </w:r>
          </w:p>
        </w:tc>
        <w:tc>
          <w:tcPr>
            <w:tcW w:w="4920" w:type="dxa"/>
            <w:vAlign w:val="center"/>
          </w:tcPr>
          <w:p>
            <w:pPr>
              <w:jc w:val="left"/>
              <w:rPr>
                <w:rFonts w:ascii="仿宋" w:hAnsi="仿宋" w:eastAsia="仿宋" w:cs="仿宋"/>
                <w:color w:val="000000" w:themeColor="text1"/>
                <w:szCs w:val="21"/>
                <w14:textFill>
                  <w14:solidFill>
                    <w14:schemeClr w14:val="tx1"/>
                  </w14:solidFill>
                </w14:textFill>
              </w:rPr>
            </w:pP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872</w:t>
            </w: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52</w:t>
            </w:r>
          </w:p>
        </w:tc>
      </w:tr>
    </w:tbl>
    <w:tbl>
      <w:tblPr>
        <w:tblStyle w:val="28"/>
        <w:tblpPr w:leftFromText="180" w:rightFromText="180" w:vertAnchor="text" w:horzAnchor="page" w:tblpX="1245" w:tblpY="777"/>
        <w:tblOverlap w:val="never"/>
        <w:tblW w:w="51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1402"/>
        <w:gridCol w:w="5976"/>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439" w:type="pct"/>
            <w:vAlign w:val="center"/>
          </w:tcPr>
          <w:p>
            <w:pPr>
              <w:jc w:val="center"/>
              <w:rPr>
                <w:rFonts w:ascii="仿宋" w:hAnsi="仿宋" w:eastAsia="仿宋" w:cs="仿宋"/>
                <w:b/>
                <w:bCs/>
                <w:color w:val="000000" w:themeColor="text1"/>
                <w:szCs w:val="21"/>
                <w14:textFill>
                  <w14:solidFill>
                    <w14:schemeClr w14:val="tx1"/>
                  </w14:solidFill>
                </w14:textFill>
              </w:rPr>
            </w:pPr>
            <w:bookmarkStart w:id="34" w:name="_Toc29250_WPSOffice_Level2"/>
            <w:r>
              <w:rPr>
                <w:rFonts w:hint="eastAsia" w:ascii="仿宋" w:hAnsi="仿宋" w:eastAsia="仿宋" w:cs="仿宋"/>
                <w:b/>
                <w:bCs/>
                <w:color w:val="000000" w:themeColor="text1"/>
                <w:szCs w:val="21"/>
                <w14:textFill>
                  <w14:solidFill>
                    <w14:schemeClr w14:val="tx1"/>
                  </w14:solidFill>
                </w14:textFill>
              </w:rPr>
              <w:t>序号</w:t>
            </w:r>
          </w:p>
        </w:tc>
        <w:tc>
          <w:tcPr>
            <w:tcW w:w="738"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3149"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336"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336"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439"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w:t>
            </w:r>
          </w:p>
        </w:tc>
        <w:tc>
          <w:tcPr>
            <w:tcW w:w="738" w:type="pct"/>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职场应用写作与交流</w:t>
            </w:r>
          </w:p>
        </w:tc>
        <w:tc>
          <w:tcPr>
            <w:tcW w:w="3149" w:type="pct"/>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通过本课程学习与应用，抓住学生心理难点且不断克服矫正心理健康状态，以追求一个更加自信、阳光、能量的自己。</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54</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2</w:t>
            </w:r>
          </w:p>
        </w:tc>
        <w:tc>
          <w:tcPr>
            <w:tcW w:w="738" w:type="pct"/>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数学（下）</w:t>
            </w:r>
          </w:p>
        </w:tc>
        <w:tc>
          <w:tcPr>
            <w:tcW w:w="3149" w:type="pct"/>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培养学生基本的逻辑推理能力，为自己的人生铺下扎实的理论基础。</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54</w:t>
            </w:r>
          </w:p>
        </w:tc>
        <w:tc>
          <w:tcPr>
            <w:tcW w:w="336" w:type="pct"/>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3</w:t>
            </w:r>
          </w:p>
        </w:tc>
        <w:tc>
          <w:tcPr>
            <w:tcW w:w="738" w:type="pct"/>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英语口语</w:t>
            </w:r>
          </w:p>
        </w:tc>
        <w:tc>
          <w:tcPr>
            <w:tcW w:w="3149" w:type="pct"/>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auto"/>
                <w:kern w:val="0"/>
                <w:sz w:val="21"/>
                <w:szCs w:val="21"/>
                <w:u w:val="none"/>
                <w:lang w:val="en-US" w:eastAsia="zh-CN" w:bidi="ar"/>
              </w:rPr>
              <w:t>培养学生英语口头表达和交往能力，使学生能就日常生活中的一般情景进行恰当、流利的交谈，能就所听材料或熟悉题材进行对话、讨论等连贯性发言。</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336" w:type="pct"/>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738" w:type="pct"/>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球类运动</w:t>
            </w:r>
          </w:p>
        </w:tc>
        <w:tc>
          <w:tcPr>
            <w:tcW w:w="3149" w:type="pct"/>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锻炼学生的心志心力，增强体质塑造体形，以面对挫折面对挑战时有个更加开放、积极的心态。</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108</w:t>
            </w:r>
          </w:p>
        </w:tc>
        <w:tc>
          <w:tcPr>
            <w:tcW w:w="336" w:type="pct"/>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78" w:type="pct"/>
            <w:gridSpan w:val="2"/>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合计</w:t>
            </w:r>
          </w:p>
        </w:tc>
        <w:tc>
          <w:tcPr>
            <w:tcW w:w="3149" w:type="pct"/>
            <w:vAlign w:val="center"/>
          </w:tcPr>
          <w:p>
            <w:pPr>
              <w:jc w:val="left"/>
              <w:rPr>
                <w:rFonts w:ascii="仿宋" w:hAnsi="仿宋" w:eastAsia="仿宋" w:cs="仿宋"/>
                <w:color w:val="000000" w:themeColor="text1"/>
                <w:szCs w:val="21"/>
                <w14:textFill>
                  <w14:solidFill>
                    <w14:schemeClr w14:val="tx1"/>
                  </w14:solidFill>
                </w14:textFill>
              </w:rPr>
            </w:pP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234</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13</w:t>
            </w:r>
          </w:p>
        </w:tc>
      </w:tr>
    </w:tbl>
    <w:p>
      <w:pPr>
        <w:widowControl/>
        <w:adjustRightInd w:val="0"/>
        <w:snapToGrid w:val="0"/>
        <w:spacing w:line="480" w:lineRule="exact"/>
        <w:jc w:val="center"/>
        <w:rPr>
          <w:rFonts w:ascii="仿宋" w:hAnsi="仿宋" w:eastAsia="仿宋" w:cs="仿宋"/>
          <w:szCs w:val="21"/>
        </w:rPr>
      </w:pPr>
      <w:r>
        <w:rPr>
          <w:rFonts w:hint="eastAsia" w:ascii="仿宋" w:hAnsi="仿宋" w:eastAsia="仿宋" w:cs="仿宋"/>
          <w:kern w:val="1"/>
          <w:sz w:val="24"/>
        </w:rPr>
        <w:t>表</w:t>
      </w:r>
      <w:r>
        <w:rPr>
          <w:rFonts w:hint="eastAsia" w:ascii="仿宋" w:hAnsi="仿宋" w:eastAsia="仿宋" w:cs="仿宋"/>
          <w:kern w:val="1"/>
          <w:sz w:val="24"/>
          <w:lang w:val="en-US" w:eastAsia="zh-CN"/>
        </w:rPr>
        <w:t>3</w:t>
      </w:r>
      <w:r>
        <w:rPr>
          <w:rFonts w:hint="eastAsia" w:ascii="仿宋" w:hAnsi="仿宋" w:eastAsia="仿宋" w:cs="仿宋"/>
          <w:kern w:val="1"/>
          <w:sz w:val="24"/>
        </w:rPr>
        <w:t>：限定选修课程</w:t>
      </w:r>
    </w:p>
    <w:p>
      <w:pPr>
        <w:widowControl/>
        <w:adjustRightInd w:val="0"/>
        <w:snapToGrid w:val="0"/>
        <w:spacing w:line="480" w:lineRule="exact"/>
        <w:jc w:val="center"/>
        <w:rPr>
          <w:rFonts w:hint="eastAsia" w:ascii="仿宋" w:hAnsi="仿宋" w:eastAsia="仿宋" w:cs="仿宋"/>
          <w:kern w:val="1"/>
          <w:sz w:val="24"/>
        </w:rPr>
      </w:pP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4</w:t>
      </w:r>
      <w:r>
        <w:rPr>
          <w:rFonts w:hint="eastAsia" w:ascii="仿宋" w:hAnsi="仿宋" w:eastAsia="仿宋" w:cs="仿宋"/>
          <w:kern w:val="1"/>
          <w:sz w:val="24"/>
        </w:rPr>
        <w:t>：公共选修课程</w:t>
      </w:r>
    </w:p>
    <w:tbl>
      <w:tblPr>
        <w:tblStyle w:val="29"/>
        <w:tblW w:w="5132"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731"/>
        <w:gridCol w:w="5857"/>
        <w:gridCol w:w="64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325"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912"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3085"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337"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338"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1</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外国历史</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了解古希腊罗马史学；了解中世纪史学；了解近现代西方史学；了解当代史学；了解其他地区史学。</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2</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中华优秀传统文化</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3</w:t>
            </w:r>
          </w:p>
        </w:tc>
        <w:tc>
          <w:tcPr>
            <w:tcW w:w="912" w:type="pct"/>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自然科学基础</w:t>
            </w:r>
          </w:p>
        </w:tc>
        <w:tc>
          <w:tcPr>
            <w:tcW w:w="5853"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掌握一些自然科学的基础知识，使其有利于现代生活及个人的实际应用，学习一些自然科学的基本思想方法，进一步树立辩证唯物主义观点，提到分析问题和解决问题的能力，开阔眼界，培养学生的科学态度，提高自身的科学素养。</w:t>
            </w:r>
          </w:p>
        </w:tc>
        <w:tc>
          <w:tcPr>
            <w:tcW w:w="641" w:type="dxa"/>
            <w:vAlign w:val="center"/>
          </w:tcPr>
          <w:p>
            <w:pPr>
              <w:keepNext w:val="0"/>
              <w:keepLines w:val="0"/>
              <w:widowControl/>
              <w:suppressLineNumbers w:val="0"/>
              <w:jc w:val="center"/>
              <w:textAlignment w:val="center"/>
              <w:rPr>
                <w:rFonts w:hint="default" w:ascii="仿宋" w:hAnsi="仿宋" w:eastAsia="仿宋" w:cs="仿宋"/>
                <w:kern w:val="1"/>
                <w:sz w:val="24"/>
                <w:lang w:val="en-US"/>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912" w:type="pct"/>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就业指导与创业教育</w:t>
            </w:r>
          </w:p>
        </w:tc>
        <w:tc>
          <w:tcPr>
            <w:tcW w:w="5853" w:type="dxa"/>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lang w:val="en-US" w:eastAsia="zh-CN"/>
              </w:rPr>
              <w:t>使学生了解就业形势，熟悉就业政策，提高就业竞争意识和依法维权意识；了解社会和职业状况，认识自我个性特点，激发全面提高自身素质的积极性和自觉性；了解就业素质要求，熟悉职业规范，形成正确的就业观，养成良好的职业道德；掌握就业与创业的基本途径和方法，提高就业竞争力及创业</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5</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贵州省情</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6</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法制意识教育</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培育中职学生成为与现代社会法制、经济以及政治文明相符合的社会建设主体,主要的教育内容包含国家意识、道德意识以及民主意识等多方面。</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7</w:t>
            </w:r>
          </w:p>
        </w:tc>
        <w:tc>
          <w:tcPr>
            <w:tcW w:w="912" w:type="pct"/>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化学</w:t>
            </w:r>
          </w:p>
        </w:tc>
        <w:tc>
          <w:tcPr>
            <w:tcW w:w="3085" w:type="pct"/>
            <w:vAlign w:val="center"/>
          </w:tcPr>
          <w:p>
            <w:pPr>
              <w:jc w:val="left"/>
              <w:rPr>
                <w:rFonts w:hint="eastAsia" w:ascii="仿宋" w:hAnsi="仿宋" w:eastAsia="仿宋" w:cs="仿宋"/>
                <w:color w:val="000000"/>
                <w:szCs w:val="21"/>
                <w:lang w:eastAsia="zh-CN"/>
              </w:rPr>
            </w:pPr>
            <w:r>
              <w:rPr>
                <w:rFonts w:hint="eastAsia" w:ascii="仿宋" w:hAnsi="仿宋" w:eastAsia="仿宋" w:cs="仿宋"/>
                <w:i w:val="0"/>
                <w:color w:val="auto"/>
                <w:kern w:val="0"/>
                <w:sz w:val="21"/>
                <w:szCs w:val="21"/>
                <w:u w:val="none"/>
                <w:lang w:val="en-US" w:eastAsia="zh-CN" w:bidi="ar"/>
              </w:rPr>
              <w:t>依据《中等职业学校化学课程标准》开设，使学生认识和了解与化学基础知识、基本技能和基本方法，养成严谨求实的科学态度，提高学生的科学素养和综合职业能力，为其职业生涯发展和终生学习奠定基础。</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sz w:val="21"/>
                <w:szCs w:val="21"/>
                <w:lang w:val="en-US" w:eastAsia="zh-CN"/>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hint="eastAsia" w:ascii="仿宋" w:hAnsi="仿宋" w:eastAsia="仿宋" w:cs="仿宋"/>
                <w:color w:val="000000"/>
                <w:sz w:val="21"/>
                <w:szCs w:val="21"/>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hint="eastAsia" w:ascii="仿宋" w:hAnsi="仿宋" w:eastAsia="仿宋" w:cs="仿宋"/>
                <w:color w:val="000000" w:themeColor="text1"/>
                <w:szCs w:val="21"/>
                <w14:textFill>
                  <w14:solidFill>
                    <w14:schemeClr w14:val="tx1"/>
                  </w14:solidFill>
                </w14:textFill>
              </w:rPr>
            </w:pPr>
          </w:p>
        </w:tc>
        <w:tc>
          <w:tcPr>
            <w:tcW w:w="912" w:type="pct"/>
            <w:vAlign w:val="center"/>
          </w:tcPr>
          <w:p>
            <w:pPr>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小计</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126</w:t>
            </w:r>
          </w:p>
        </w:tc>
        <w:tc>
          <w:tcPr>
            <w:tcW w:w="642" w:type="dxa"/>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7</w:t>
            </w:r>
          </w:p>
        </w:tc>
      </w:tr>
    </w:tbl>
    <w:p>
      <w:pPr>
        <w:widowControl/>
        <w:spacing w:line="520" w:lineRule="exact"/>
        <w:jc w:val="left"/>
        <w:outlineLvl w:val="1"/>
        <w:rPr>
          <w:rFonts w:hint="eastAsia" w:ascii="仿宋" w:hAnsi="仿宋" w:eastAsia="仿宋" w:cs="仿宋"/>
          <w:color w:val="000000" w:themeColor="text1"/>
          <w:sz w:val="32"/>
          <w:szCs w:val="32"/>
          <w14:textFill>
            <w14:solidFill>
              <w14:schemeClr w14:val="tx1"/>
            </w14:solidFill>
          </w14:textFill>
        </w:rPr>
      </w:pPr>
      <w:bookmarkStart w:id="35" w:name="_Toc29839"/>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）专业（技能）课程</w:t>
      </w:r>
      <w:bookmarkEnd w:id="34"/>
      <w:bookmarkEnd w:id="35"/>
      <w:r>
        <w:rPr>
          <w:rFonts w:hint="eastAsia" w:ascii="仿宋" w:hAnsi="仿宋" w:eastAsia="仿宋" w:cs="仿宋"/>
          <w:color w:val="000000" w:themeColor="text1"/>
          <w:sz w:val="32"/>
          <w:szCs w:val="32"/>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5</w:t>
      </w:r>
      <w:r>
        <w:rPr>
          <w:rFonts w:hint="eastAsia" w:ascii="仿宋" w:hAnsi="仿宋" w:eastAsia="仿宋" w:cs="仿宋"/>
          <w:kern w:val="1"/>
          <w:sz w:val="24"/>
        </w:rPr>
        <w:t>：</w:t>
      </w:r>
      <w:r>
        <w:rPr>
          <w:rFonts w:hint="eastAsia" w:ascii="仿宋" w:hAnsi="仿宋" w:eastAsia="仿宋" w:cs="仿宋"/>
          <w:kern w:val="1"/>
          <w:sz w:val="24"/>
          <w:lang w:val="en-US" w:eastAsia="zh-CN"/>
        </w:rPr>
        <w:t>专业基础</w:t>
      </w:r>
      <w:r>
        <w:rPr>
          <w:rFonts w:hint="eastAsia" w:ascii="仿宋" w:hAnsi="仿宋" w:eastAsia="仿宋" w:cs="仿宋"/>
          <w:kern w:val="1"/>
          <w:sz w:val="24"/>
        </w:rPr>
        <w:t>课程</w:t>
      </w:r>
    </w:p>
    <w:tbl>
      <w:tblPr>
        <w:tblStyle w:val="15"/>
        <w:tblpPr w:leftFromText="180" w:rightFromText="180" w:vertAnchor="text" w:horzAnchor="page" w:tblpX="1539" w:tblpY="281"/>
        <w:tblOverlap w:val="never"/>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60"/>
        <w:gridCol w:w="5542"/>
        <w:gridCol w:w="782"/>
        <w:gridCol w:w="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序号</w:t>
            </w: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54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78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693"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adjustRightInd w:val="0"/>
              <w:snapToGrid w:val="0"/>
              <w:spacing w:line="480" w:lineRule="exact"/>
              <w:jc w:val="center"/>
              <w:rPr>
                <w:rFonts w:ascii="仿宋" w:hAnsi="仿宋" w:eastAsia="仿宋" w:cs="仿宋"/>
                <w:sz w:val="21"/>
                <w:szCs w:val="21"/>
              </w:rPr>
            </w:pPr>
            <w:r>
              <w:rPr>
                <w:rFonts w:hint="eastAsia" w:ascii="仿宋" w:hAnsi="仿宋" w:eastAsia="仿宋" w:cs="仿宋"/>
                <w:sz w:val="21"/>
                <w:szCs w:val="21"/>
              </w:rPr>
              <w:t>1</w:t>
            </w:r>
          </w:p>
        </w:tc>
        <w:tc>
          <w:tcPr>
            <w:tcW w:w="1260" w:type="dxa"/>
            <w:vAlign w:val="center"/>
          </w:tcPr>
          <w:p>
            <w:pPr>
              <w:widowControl/>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基本乐理</w:t>
            </w:r>
          </w:p>
        </w:tc>
        <w:tc>
          <w:tcPr>
            <w:tcW w:w="5542" w:type="dxa"/>
            <w:vAlign w:val="center"/>
          </w:tcPr>
          <w:p>
            <w:pPr>
              <w:widowControl/>
              <w:adjustRightInd w:val="0"/>
              <w:snapToGrid w:val="0"/>
              <w:spacing w:line="480" w:lineRule="exact"/>
              <w:jc w:val="center"/>
              <w:rPr>
                <w:rFonts w:ascii="仿宋" w:hAnsi="仿宋" w:eastAsia="仿宋" w:cs="仿宋"/>
                <w:kern w:val="1"/>
                <w:sz w:val="24"/>
              </w:rPr>
            </w:pPr>
            <w:r>
              <w:rPr>
                <w:rFonts w:ascii="FZLTSK--GBK1-0" w:hAnsi="FZLTSK--GBK1-0" w:eastAsia="仿宋" w:cs="FZLTSK--GBK1-0"/>
                <w:kern w:val="0"/>
                <w:szCs w:val="21"/>
                <w:lang w:bidi="ar"/>
              </w:rPr>
              <w:t>掌握音、音程、节奏、节拍、调式、转调等音乐理论基础知识，并能运用这些知识理性认知、分析、鉴赏和表现音乐</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adjustRightInd w:val="0"/>
              <w:snapToGrid w:val="0"/>
              <w:spacing w:line="480" w:lineRule="exact"/>
              <w:jc w:val="center"/>
              <w:rPr>
                <w:rFonts w:ascii="仿宋" w:hAnsi="仿宋" w:eastAsia="仿宋" w:cs="仿宋"/>
                <w:kern w:val="1"/>
                <w:sz w:val="21"/>
                <w:szCs w:val="21"/>
              </w:rPr>
            </w:pPr>
            <w:r>
              <w:rPr>
                <w:rFonts w:hint="eastAsia" w:ascii="仿宋" w:hAnsi="仿宋" w:eastAsia="仿宋" w:cs="仿宋"/>
                <w:kern w:val="1"/>
                <w:sz w:val="21"/>
                <w:szCs w:val="21"/>
              </w:rPr>
              <w:t>2</w:t>
            </w:r>
          </w:p>
        </w:tc>
        <w:tc>
          <w:tcPr>
            <w:tcW w:w="1260"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视唱练耳</w:t>
            </w:r>
          </w:p>
        </w:tc>
        <w:tc>
          <w:tcPr>
            <w:tcW w:w="5542" w:type="dxa"/>
            <w:vAlign w:val="center"/>
          </w:tcPr>
          <w:p>
            <w:pPr>
              <w:widowControl/>
              <w:adjustRightInd w:val="0"/>
              <w:snapToGrid w:val="0"/>
              <w:spacing w:line="480" w:lineRule="exact"/>
              <w:jc w:val="center"/>
              <w:rPr>
                <w:rFonts w:ascii="仿宋" w:hAnsi="仿宋" w:eastAsia="仿宋" w:cs="仿宋"/>
                <w:kern w:val="1"/>
                <w:sz w:val="24"/>
              </w:rPr>
            </w:pPr>
            <w:r>
              <w:rPr>
                <w:rFonts w:ascii="FZLTSK--GBK1-0" w:hAnsi="FZLTSK--GBK1-0" w:eastAsia="仿宋" w:cs="FZLTSK--GBK1-0"/>
                <w:kern w:val="0"/>
                <w:szCs w:val="21"/>
                <w:lang w:bidi="ar"/>
              </w:rPr>
              <w:t>能准确地识唱五线谱（或简谱），提高听觉对节拍节奏、和声、旋律等音乐要素的感知和记忆能力，积累音乐语汇，掌握基本的记谱技能</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3</w:t>
            </w:r>
          </w:p>
        </w:tc>
        <w:tc>
          <w:tcPr>
            <w:tcW w:w="1260"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钢琴基础训练</w:t>
            </w:r>
          </w:p>
        </w:tc>
        <w:tc>
          <w:tcPr>
            <w:tcW w:w="5542" w:type="dxa"/>
            <w:vAlign w:val="center"/>
          </w:tcPr>
          <w:p>
            <w:pPr>
              <w:widowControl/>
              <w:adjustRightInd w:val="0"/>
              <w:snapToGrid w:val="0"/>
              <w:spacing w:line="480" w:lineRule="exact"/>
              <w:jc w:val="center"/>
              <w:rPr>
                <w:rFonts w:ascii="仿宋" w:hAnsi="仿宋" w:eastAsia="仿宋" w:cs="仿宋"/>
                <w:kern w:val="1"/>
                <w:sz w:val="21"/>
                <w:szCs w:val="21"/>
              </w:rPr>
            </w:pPr>
            <w:r>
              <w:rPr>
                <w:rFonts w:ascii="FZLTSK--GBK1-0" w:hAnsi="FZLTSK--GBK1-0" w:eastAsia="仿宋" w:cs="FZLTSK--GBK1-0"/>
                <w:kern w:val="0"/>
                <w:sz w:val="21"/>
                <w:szCs w:val="21"/>
                <w:lang w:bidi="ar"/>
              </w:rPr>
              <w:t>正确掌握钢琴弹奏的基本方法和技能，弹奏一定数量的初、中级钢琴作品，能为简易的歌（乐）曲伴奏，为专业学习提供帮助</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4</w:t>
            </w:r>
          </w:p>
        </w:tc>
        <w:tc>
          <w:tcPr>
            <w:tcW w:w="1260" w:type="dxa"/>
            <w:vAlign w:val="center"/>
          </w:tcPr>
          <w:p>
            <w:pPr>
              <w:widowControl/>
              <w:adjustRightInd w:val="0"/>
              <w:snapToGrid w:val="0"/>
              <w:spacing w:line="480" w:lineRule="exact"/>
              <w:jc w:val="center"/>
              <w:rPr>
                <w:rFonts w:ascii="仿宋" w:hAnsi="仿宋" w:eastAsia="仿宋" w:cs="仿宋"/>
                <w:kern w:val="1"/>
                <w:sz w:val="24"/>
              </w:rPr>
            </w:pPr>
            <w:r>
              <w:rPr>
                <w:rFonts w:hint="eastAsia" w:ascii="仿宋" w:hAnsi="仿宋" w:eastAsia="仿宋" w:cs="仿宋"/>
                <w:kern w:val="1"/>
                <w:sz w:val="24"/>
              </w:rPr>
              <w:t>普通话</w:t>
            </w:r>
          </w:p>
        </w:tc>
        <w:tc>
          <w:tcPr>
            <w:tcW w:w="5542" w:type="dxa"/>
            <w:vAlign w:val="center"/>
          </w:tcPr>
          <w:p>
            <w:pPr>
              <w:widowControl/>
              <w:adjustRightInd w:val="0"/>
              <w:snapToGrid w:val="0"/>
              <w:spacing w:line="480" w:lineRule="exact"/>
              <w:jc w:val="center"/>
              <w:rPr>
                <w:rFonts w:ascii="仿宋" w:hAnsi="仿宋" w:eastAsia="仿宋" w:cs="仿宋"/>
                <w:kern w:val="1"/>
                <w:sz w:val="21"/>
                <w:szCs w:val="21"/>
              </w:rPr>
            </w:pPr>
            <w:r>
              <w:rPr>
                <w:rFonts w:hint="eastAsia" w:ascii="仿宋" w:hAnsi="仿宋" w:eastAsia="仿宋" w:cs="仿宋"/>
                <w:kern w:val="1"/>
                <w:sz w:val="21"/>
                <w:szCs w:val="21"/>
              </w:rPr>
              <w:t>通过本教学，使学生能够熟练掌握与运用普通话，为以后的职业生涯打下基础。</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rPr>
            </w:pPr>
            <w:r>
              <w:rPr>
                <w:rFonts w:hint="eastAsia" w:ascii="仿宋" w:hAnsi="仿宋" w:eastAsia="仿宋" w:cs="仿宋"/>
                <w:kern w:val="1"/>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5</w:t>
            </w: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舞蹈基础</w:t>
            </w:r>
          </w:p>
        </w:tc>
        <w:tc>
          <w:tcPr>
            <w:tcW w:w="5542"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通过教学，使学生基本解决身体的柔韧度与协调性，掌握古典舞集训开绷，直立的训练方法及古典技术技巧的运用，为今后的剧目学习打下基础</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108</w:t>
            </w:r>
          </w:p>
        </w:tc>
        <w:tc>
          <w:tcPr>
            <w:tcW w:w="693" w:type="dxa"/>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4"/>
              </w:rPr>
            </w:pP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合计</w:t>
            </w:r>
          </w:p>
        </w:tc>
        <w:tc>
          <w:tcPr>
            <w:tcW w:w="5542" w:type="dxa"/>
            <w:vAlign w:val="center"/>
          </w:tcPr>
          <w:p>
            <w:pPr>
              <w:spacing w:line="480" w:lineRule="atLeast"/>
              <w:jc w:val="center"/>
              <w:rPr>
                <w:rFonts w:ascii="仿宋" w:hAnsi="仿宋" w:eastAsia="仿宋" w:cs="仿宋"/>
                <w:kern w:val="1"/>
                <w:sz w:val="24"/>
              </w:rPr>
            </w:pP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396</w:t>
            </w:r>
          </w:p>
        </w:tc>
        <w:tc>
          <w:tcPr>
            <w:tcW w:w="693"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22</w:t>
            </w:r>
          </w:p>
        </w:tc>
      </w:tr>
    </w:tbl>
    <w:p>
      <w:pPr>
        <w:widowControl/>
        <w:jc w:val="center"/>
        <w:rPr>
          <w:rFonts w:ascii="Calibri" w:hAnsi="Calibri" w:eastAsia="宋体" w:cs="宋体"/>
          <w:sz w:val="24"/>
        </w:rPr>
      </w:pPr>
    </w:p>
    <w:p>
      <w:pPr>
        <w:widowControl/>
        <w:numPr>
          <w:ilvl w:val="0"/>
          <w:numId w:val="2"/>
        </w:numPr>
        <w:spacing w:line="520" w:lineRule="exact"/>
        <w:ind w:firstLine="643" w:firstLineChars="200"/>
        <w:jc w:val="left"/>
        <w:outlineLvl w:val="1"/>
        <w:rPr>
          <w:rFonts w:hint="eastAsia" w:ascii="楷体" w:hAnsi="楷体" w:eastAsia="楷体" w:cs="楷体"/>
          <w:b/>
          <w:bCs/>
          <w:sz w:val="32"/>
          <w:szCs w:val="32"/>
        </w:rPr>
      </w:pPr>
      <w:r>
        <w:rPr>
          <w:rFonts w:hint="eastAsia" w:ascii="楷体" w:hAnsi="楷体" w:eastAsia="楷体" w:cs="楷体"/>
          <w:b/>
          <w:bCs/>
          <w:sz w:val="32"/>
          <w:szCs w:val="32"/>
        </w:rPr>
        <w:t>专业</w:t>
      </w:r>
      <w:r>
        <w:rPr>
          <w:rFonts w:hint="eastAsia" w:ascii="楷体" w:hAnsi="楷体" w:eastAsia="楷体" w:cs="楷体"/>
          <w:b/>
          <w:bCs/>
          <w:sz w:val="32"/>
          <w:szCs w:val="32"/>
          <w:lang w:val="en-US" w:eastAsia="zh-CN"/>
        </w:rPr>
        <w:t>核心</w:t>
      </w:r>
      <w:r>
        <w:rPr>
          <w:rFonts w:hint="eastAsia" w:ascii="楷体" w:hAnsi="楷体" w:eastAsia="楷体" w:cs="楷体"/>
          <w:b/>
          <w:bCs/>
          <w:sz w:val="32"/>
          <w:szCs w:val="32"/>
        </w:rPr>
        <w:t>课程</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6</w:t>
      </w:r>
      <w:r>
        <w:rPr>
          <w:rFonts w:hint="eastAsia" w:ascii="仿宋" w:hAnsi="仿宋" w:eastAsia="仿宋" w:cs="仿宋"/>
          <w:kern w:val="1"/>
          <w:sz w:val="24"/>
        </w:rPr>
        <w:t>：</w:t>
      </w:r>
      <w:r>
        <w:rPr>
          <w:rFonts w:hint="eastAsia" w:ascii="仿宋" w:hAnsi="仿宋" w:eastAsia="仿宋" w:cs="仿宋"/>
          <w:kern w:val="1"/>
          <w:sz w:val="24"/>
          <w:lang w:val="en-US" w:eastAsia="zh-CN"/>
        </w:rPr>
        <w:t>专业核心</w:t>
      </w:r>
      <w:r>
        <w:rPr>
          <w:rFonts w:hint="eastAsia" w:ascii="仿宋" w:hAnsi="仿宋" w:eastAsia="仿宋" w:cs="仿宋"/>
          <w:kern w:val="1"/>
          <w:sz w:val="24"/>
        </w:rPr>
        <w:t>课程</w:t>
      </w:r>
    </w:p>
    <w:p>
      <w:pPr>
        <w:widowControl/>
        <w:adjustRightInd w:val="0"/>
        <w:snapToGrid w:val="0"/>
        <w:spacing w:line="480" w:lineRule="exact"/>
        <w:jc w:val="center"/>
        <w:rPr>
          <w:rFonts w:hint="eastAsia" w:ascii="仿宋" w:hAnsi="仿宋" w:eastAsia="仿宋" w:cs="仿宋"/>
          <w:kern w:val="1"/>
          <w:sz w:val="24"/>
        </w:rPr>
      </w:pPr>
    </w:p>
    <w:tbl>
      <w:tblPr>
        <w:tblStyle w:val="15"/>
        <w:tblW w:w="9156" w:type="dxa"/>
        <w:tblInd w:w="2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rPr>
                <w:rFonts w:ascii="仿宋" w:hAnsi="仿宋" w:eastAsia="仿宋" w:cs="仿宋"/>
                <w:kern w:val="1"/>
                <w:sz w:val="24"/>
              </w:rPr>
            </w:pPr>
            <w:r>
              <w:rPr>
                <w:rFonts w:hint="eastAsia" w:ascii="仿宋" w:hAnsi="仿宋" w:eastAsia="仿宋" w:cs="仿宋"/>
                <w:kern w:val="1"/>
                <w:sz w:val="24"/>
              </w:rPr>
              <w:t>序号</w:t>
            </w:r>
          </w:p>
        </w:tc>
        <w:tc>
          <w:tcPr>
            <w:tcW w:w="1488"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65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67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672"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视唱练耳</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能准确地识唱五线谱（或简谱），提高听觉对节拍节奏、和声、旋律等音乐要素的感知和记忆能力，积累音乐语汇，掌握基本的记谱技能</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default" w:ascii="Adobe 仿宋 Std R" w:hAnsi="Adobe 仿宋 Std R" w:eastAsia="Adobe 仿宋 Std R" w:cs="Adobe 仿宋 Std R"/>
                <w:i w:val="0"/>
                <w:color w:val="000000"/>
                <w:kern w:val="0"/>
                <w:sz w:val="20"/>
                <w:szCs w:val="20"/>
                <w:u w:val="none"/>
                <w:lang w:val="en-US" w:eastAsia="zh-CN" w:bidi="ar"/>
              </w:rPr>
              <w:t>10</w:t>
            </w:r>
            <w:r>
              <w:rPr>
                <w:rFonts w:hint="eastAsia" w:ascii="Adobe 仿宋 Std R" w:hAnsi="Adobe 仿宋 Std R" w:eastAsia="Adobe 仿宋 Std R" w:cs="Adobe 仿宋 Std R"/>
                <w:i w:val="0"/>
                <w:color w:val="000000"/>
                <w:kern w:val="0"/>
                <w:sz w:val="20"/>
                <w:szCs w:val="20"/>
                <w:u w:val="none"/>
                <w:lang w:val="en-US" w:eastAsia="zh-CN" w:bidi="ar"/>
              </w:rPr>
              <w:t>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default"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民族民间音乐</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通过学习中国民歌、民间器乐、戏曲音乐和曲艺音乐等，初步了解我国民族民间音乐丰富的语言、基本形态 和不同特征，能在以后的学习和工作中继承发扬民族</w:t>
            </w:r>
            <w:r>
              <w:rPr>
                <w:rFonts w:hint="eastAsia" w:ascii="FZLTSK--GBK1-0" w:hAnsi="FZLTSK--GBK1-0" w:eastAsia="仿宋" w:cs="FZLTSK--GBK1-0"/>
                <w:kern w:val="0"/>
                <w:szCs w:val="21"/>
                <w:lang w:bidi="ar"/>
              </w:rPr>
              <w:t>民</w:t>
            </w:r>
            <w:r>
              <w:rPr>
                <w:rFonts w:ascii="FZLTSK--GBK1-0" w:hAnsi="FZLTSK--GBK1-0" w:eastAsia="仿宋" w:cs="FZLTSK--GBK1-0"/>
                <w:kern w:val="0"/>
                <w:szCs w:val="21"/>
                <w:lang w:bidi="ar"/>
              </w:rPr>
              <w:t>间音乐的优秀传统</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sz w:val="20"/>
                <w:szCs w:val="20"/>
                <w:u w:val="none"/>
                <w:lang w:val="en-US" w:eastAsia="zh-CN"/>
              </w:rPr>
              <w:t>36</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中外声乐史</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了解中国及以欧洲为主的外国</w:t>
            </w:r>
            <w:r>
              <w:rPr>
                <w:rFonts w:hint="eastAsia" w:ascii="FZLTSK--GBK1-0" w:hAnsi="FZLTSK--GBK1-0" w:eastAsia="仿宋" w:cs="FZLTSK--GBK1-0"/>
                <w:kern w:val="0"/>
                <w:szCs w:val="21"/>
                <w:lang w:bidi="ar"/>
              </w:rPr>
              <w:t>声</w:t>
            </w:r>
            <w:r>
              <w:rPr>
                <w:rFonts w:ascii="FZLTSK--GBK1-0" w:hAnsi="FZLTSK--GBK1-0" w:eastAsia="仿宋" w:cs="FZLTSK--GBK1-0"/>
                <w:kern w:val="0"/>
                <w:szCs w:val="21"/>
                <w:lang w:bidi="ar"/>
              </w:rPr>
              <w:t>乐文化发展的历史概况，不同时期的主要音乐现象、</w:t>
            </w:r>
            <w:r>
              <w:rPr>
                <w:rFonts w:hint="eastAsia" w:ascii="FZLTSK--GBK1-0" w:hAnsi="FZLTSK--GBK1-0" w:eastAsia="仿宋" w:cs="FZLTSK--GBK1-0"/>
                <w:kern w:val="0"/>
                <w:szCs w:val="21"/>
                <w:lang w:bidi="ar"/>
              </w:rPr>
              <w:t>概念、风格</w:t>
            </w:r>
            <w:r>
              <w:rPr>
                <w:rFonts w:ascii="FZLTSK--GBK1-0" w:hAnsi="FZLTSK--GBK1-0" w:eastAsia="仿宋" w:cs="FZLTSK--GBK1-0"/>
                <w:kern w:val="0"/>
                <w:szCs w:val="21"/>
                <w:lang w:bidi="ar"/>
              </w:rPr>
              <w:t>、流派、人物、 作品及其演变轨迹，拓宽知识视野，提高音乐素养</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sz w:val="20"/>
                <w:szCs w:val="20"/>
                <w:u w:val="none"/>
                <w:lang w:val="en-US" w:eastAsia="zh-CN"/>
              </w:rPr>
              <w:t>18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钢琴基础训练</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正确掌握钢琴弹奏的基本方法和技能，弹奏一定数量的初、中级钢琴作品，能为简易的歌（乐）曲伴奏，为专业学习提供帮助</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108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5</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合唱与指挥</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 xml:space="preserve">掌握合唱的基本知识和技能，能在不同组合的合唱中与其他合唱队员协调配合，具备参与演唱一定数量的中、外合唱作品的能力 </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36</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6</w:t>
            </w:r>
          </w:p>
        </w:tc>
        <w:tc>
          <w:tcPr>
            <w:tcW w:w="1488" w:type="dxa"/>
            <w:vAlign w:val="center"/>
          </w:tcPr>
          <w:p>
            <w:pPr>
              <w:adjustRightInd w:val="0"/>
              <w:snapToGrid w:val="0"/>
              <w:spacing w:line="480" w:lineRule="exact"/>
              <w:jc w:val="center"/>
              <w:rPr>
                <w:rFonts w:hint="eastAsia" w:ascii="宋体" w:hAnsi="宋体" w:eastAsia="仿宋" w:cs="宋体"/>
                <w:szCs w:val="21"/>
                <w:lang w:eastAsia="zh-CN"/>
              </w:rPr>
            </w:pPr>
            <w:r>
              <w:rPr>
                <w:rFonts w:hint="eastAsia" w:ascii="宋体" w:hAnsi="宋体" w:eastAsia="仿宋" w:cs="宋体"/>
                <w:szCs w:val="21"/>
                <w:lang w:eastAsia="zh-CN"/>
              </w:rPr>
              <w:t>钢琴即兴伴奏</w:t>
            </w:r>
          </w:p>
        </w:tc>
        <w:tc>
          <w:tcPr>
            <w:tcW w:w="5652" w:type="dxa"/>
            <w:vAlign w:val="center"/>
          </w:tcPr>
          <w:p>
            <w:pPr>
              <w:widowControl/>
              <w:adjustRightInd w:val="0"/>
              <w:snapToGrid w:val="0"/>
              <w:spacing w:line="480" w:lineRule="exact"/>
              <w:jc w:val="left"/>
              <w:rPr>
                <w:rFonts w:hint="eastAsia" w:ascii="FZLTSK--GBK1-0" w:hAnsi="FZLTSK--GBK1-0" w:eastAsia="仿宋" w:cs="FZLTSK--GBK1-0"/>
                <w:kern w:val="0"/>
                <w:szCs w:val="21"/>
                <w:lang w:eastAsia="zh-CN" w:bidi="ar"/>
              </w:rPr>
            </w:pPr>
            <w:r>
              <w:rPr>
                <w:rFonts w:hint="eastAsia" w:ascii="FZLTSK--GBK1-0" w:hAnsi="FZLTSK--GBK1-0" w:eastAsia="仿宋" w:cs="FZLTSK--GBK1-0"/>
                <w:kern w:val="0"/>
                <w:szCs w:val="21"/>
                <w:lang w:eastAsia="zh-CN" w:bidi="ar"/>
              </w:rPr>
              <w:t>掌握钢琴伴奏基本技巧、和弦运用、节奏音型运用等，通过这些知识对歌曲进行钢琴即兴伴奏</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4</w:t>
            </w:r>
          </w:p>
        </w:tc>
      </w:tr>
    </w:tbl>
    <w:tbl>
      <w:tblPr>
        <w:tblStyle w:val="15"/>
        <w:tblpPr w:leftFromText="180" w:rightFromText="180" w:vertAnchor="text" w:horzAnchor="page" w:tblpX="1720" w:tblpY="74"/>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88"/>
        <w:gridCol w:w="5572"/>
        <w:gridCol w:w="752"/>
        <w:gridCol w:w="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75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芭蕾集训</w:t>
            </w:r>
          </w:p>
        </w:tc>
        <w:tc>
          <w:tcPr>
            <w:tcW w:w="557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通过教学，使学生基本解决身体的柔韧度与协调性，掌握古典舞集训开，绷，直立的训练方法及古典舞技术技巧的运用，为今后的剧目学习打下基础</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180</w:t>
            </w:r>
          </w:p>
        </w:tc>
        <w:tc>
          <w:tcPr>
            <w:tcW w:w="616"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8</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舞蹈编导</w:t>
            </w:r>
          </w:p>
        </w:tc>
        <w:tc>
          <w:tcPr>
            <w:tcW w:w="557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通过课堂实用知识的讲授和实践，使学生掌握基本的编舞技法、编排规律的同时，形成良好的乐感</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108</w:t>
            </w:r>
          </w:p>
        </w:tc>
        <w:tc>
          <w:tcPr>
            <w:tcW w:w="616"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75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9</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中国古典身韵</w:t>
            </w:r>
          </w:p>
        </w:tc>
        <w:tc>
          <w:tcPr>
            <w:tcW w:w="557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通过本课程的教学，使学生系统的了解中国古典舞课程风格所需要的基本知识和技能，奠定舞蹈表演的扎实基础，增强具有民族特色的舞姿表现力，其内容包括手、眼、身法、步的训练</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16"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10</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舞蹈剧目</w:t>
            </w:r>
          </w:p>
        </w:tc>
        <w:tc>
          <w:tcPr>
            <w:tcW w:w="5572" w:type="dxa"/>
            <w:vAlign w:val="top"/>
          </w:tcPr>
          <w:p>
            <w:pPr>
              <w:spacing w:line="480" w:lineRule="atLeast"/>
              <w:jc w:val="left"/>
              <w:rPr>
                <w:rFonts w:ascii="仿宋" w:hAnsi="仿宋" w:eastAsia="仿宋" w:cs="仿宋"/>
                <w:kern w:val="1"/>
                <w:sz w:val="24"/>
              </w:rPr>
            </w:pPr>
            <w:r>
              <w:rPr>
                <w:rFonts w:hint="eastAsia" w:ascii="FZLTSK--GBK1-0" w:hAnsi="FZLTSK--GBK1-0" w:eastAsia="仿宋" w:cs="FZLTSK--GBK1-0"/>
                <w:kern w:val="0"/>
                <w:szCs w:val="21"/>
                <w:lang w:bidi="ar"/>
              </w:rPr>
              <w:t>通过剧目课教学，使学生把基训、民间舞、技巧等专业基础课的只是和技能通过剧目进行合成，培养和提高学生的综合表演能力与舞台感，掌握舞蹈的基础表演程序，具有一定的塑造角色能力，舞蹈上具有二度创作的能力。</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36</w:t>
            </w:r>
          </w:p>
        </w:tc>
        <w:tc>
          <w:tcPr>
            <w:tcW w:w="616"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vAlign w:val="center"/>
          </w:tcPr>
          <w:p>
            <w:pPr>
              <w:spacing w:line="480" w:lineRule="atLeast"/>
              <w:jc w:val="center"/>
              <w:rPr>
                <w:rFonts w:hint="default" w:ascii="仿宋" w:hAnsi="仿宋" w:eastAsia="仿宋" w:cs="仿宋"/>
                <w:kern w:val="1"/>
                <w:sz w:val="24"/>
                <w:lang w:val="en-US" w:eastAsia="zh-CN"/>
              </w:rPr>
            </w:pPr>
            <w:r>
              <w:rPr>
                <w:rFonts w:hint="eastAsia" w:ascii="仿宋" w:hAnsi="仿宋" w:eastAsia="仿宋" w:cs="仿宋"/>
                <w:kern w:val="1"/>
                <w:sz w:val="24"/>
                <w:lang w:val="en-US" w:eastAsia="zh-CN"/>
              </w:rPr>
              <w:t>11</w:t>
            </w:r>
          </w:p>
        </w:tc>
        <w:tc>
          <w:tcPr>
            <w:tcW w:w="1488" w:type="dxa"/>
            <w:vAlign w:val="top"/>
          </w:tcPr>
          <w:p>
            <w:pPr>
              <w:widowControl/>
              <w:adjustRightInd w:val="0"/>
              <w:snapToGrid w:val="0"/>
              <w:spacing w:line="480" w:lineRule="exact"/>
              <w:jc w:val="left"/>
              <w:rPr>
                <w:rFonts w:hint="eastAsia" w:ascii="FZLTSK--GBK1-0" w:hAnsi="FZLTSK--GBK1-0" w:eastAsia="仿宋" w:cs="FZLTSK--GBK1-0"/>
                <w:kern w:val="0"/>
                <w:szCs w:val="21"/>
                <w:lang w:val="en-US" w:eastAsia="zh-CN" w:bidi="ar"/>
              </w:rPr>
            </w:pPr>
            <w:r>
              <w:rPr>
                <w:rFonts w:hint="eastAsia" w:ascii="FZLTSK--GBK1-0" w:hAnsi="FZLTSK--GBK1-0" w:eastAsia="仿宋" w:cs="FZLTSK--GBK1-0"/>
                <w:kern w:val="0"/>
                <w:szCs w:val="21"/>
                <w:lang w:bidi="ar"/>
              </w:rPr>
              <w:t>声乐</w:t>
            </w:r>
          </w:p>
        </w:tc>
        <w:tc>
          <w:tcPr>
            <w:tcW w:w="5572" w:type="dxa"/>
            <w:vAlign w:val="center"/>
          </w:tcPr>
          <w:p>
            <w:pPr>
              <w:spacing w:line="480" w:lineRule="atLeast"/>
              <w:jc w:val="left"/>
              <w:rPr>
                <w:rFonts w:hint="eastAsia" w:ascii="FZLTSK--GBK1-0" w:hAnsi="FZLTSK--GBK1-0" w:eastAsia="仿宋" w:cs="FZLTSK--GBK1-0"/>
                <w:kern w:val="0"/>
                <w:sz w:val="21"/>
                <w:szCs w:val="21"/>
                <w:lang w:val="en-US" w:eastAsia="zh-CN" w:bidi="ar"/>
              </w:rPr>
            </w:pPr>
            <w:r>
              <w:rPr>
                <w:rFonts w:hint="eastAsia" w:ascii="FZLTSK--GBK1-0" w:hAnsi="FZLTSK--GBK1-0" w:eastAsia="仿宋" w:cs="FZLTSK--GBK1-0"/>
                <w:kern w:val="0"/>
                <w:szCs w:val="21"/>
                <w:lang w:bidi="ar"/>
              </w:rPr>
              <w:t>掌握某一种演唱方法（民族、美声、通俗、原生态等）的基本知识和技能，具备基本的演唱水平与音乐表现力。可根据实际，在不同年级采取集体课、小组课和个别课相结合的教学形式</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i w:val="0"/>
                <w:color w:val="000000"/>
                <w:kern w:val="0"/>
                <w:sz w:val="21"/>
                <w:szCs w:val="21"/>
                <w:u w:val="none"/>
                <w:lang w:val="en-US" w:eastAsia="zh-CN" w:bidi="ar"/>
              </w:rPr>
              <w:t>108</w:t>
            </w:r>
          </w:p>
        </w:tc>
        <w:tc>
          <w:tcPr>
            <w:tcW w:w="616"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vAlign w:val="center"/>
          </w:tcPr>
          <w:p>
            <w:pPr>
              <w:spacing w:line="480" w:lineRule="atLeast"/>
              <w:jc w:val="center"/>
              <w:rPr>
                <w:rFonts w:hint="default" w:ascii="仿宋" w:hAnsi="仿宋" w:eastAsia="仿宋" w:cs="仿宋"/>
                <w:kern w:val="1"/>
                <w:sz w:val="24"/>
                <w:lang w:val="en-US" w:eastAsia="zh-CN"/>
              </w:rPr>
            </w:pPr>
            <w:r>
              <w:rPr>
                <w:rFonts w:hint="eastAsia" w:ascii="仿宋" w:hAnsi="仿宋" w:eastAsia="仿宋" w:cs="仿宋"/>
                <w:kern w:val="1"/>
                <w:sz w:val="24"/>
                <w:lang w:val="en-US" w:eastAsia="zh-CN"/>
              </w:rPr>
              <w:t>12</w:t>
            </w:r>
          </w:p>
        </w:tc>
        <w:tc>
          <w:tcPr>
            <w:tcW w:w="1488" w:type="dxa"/>
            <w:vAlign w:val="top"/>
          </w:tcPr>
          <w:p>
            <w:pPr>
              <w:widowControl/>
              <w:adjustRightInd w:val="0"/>
              <w:snapToGrid w:val="0"/>
              <w:spacing w:line="480" w:lineRule="exact"/>
              <w:jc w:val="left"/>
              <w:rPr>
                <w:rFonts w:hint="eastAsia" w:ascii="FZLTSK--GBK1-0" w:hAnsi="FZLTSK--GBK1-0" w:eastAsia="仿宋" w:cs="FZLTSK--GBK1-0"/>
                <w:kern w:val="0"/>
                <w:szCs w:val="21"/>
                <w:lang w:val="en-US" w:eastAsia="zh-CN" w:bidi="ar"/>
              </w:rPr>
            </w:pPr>
            <w:r>
              <w:rPr>
                <w:rFonts w:hint="eastAsia" w:ascii="FZLTSK--GBK1-0" w:hAnsi="FZLTSK--GBK1-0" w:eastAsia="仿宋" w:cs="FZLTSK--GBK1-0"/>
                <w:kern w:val="0"/>
                <w:szCs w:val="21"/>
                <w:lang w:bidi="ar"/>
              </w:rPr>
              <w:t>中国民族民间舞</w:t>
            </w:r>
          </w:p>
        </w:tc>
        <w:tc>
          <w:tcPr>
            <w:tcW w:w="5572" w:type="dxa"/>
            <w:vAlign w:val="top"/>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通过民间舞训练，使学生基本掌握汉族、少数民族的基本动侓和民俗特点，提高学生身体各部位的协调性</w:t>
            </w:r>
          </w:p>
        </w:tc>
        <w:tc>
          <w:tcPr>
            <w:tcW w:w="752"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216</w:t>
            </w:r>
          </w:p>
        </w:tc>
        <w:tc>
          <w:tcPr>
            <w:tcW w:w="616"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vAlign w:val="center"/>
          </w:tcPr>
          <w:p>
            <w:pPr>
              <w:spacing w:line="480" w:lineRule="atLeast"/>
              <w:jc w:val="center"/>
              <w:rPr>
                <w:rFonts w:ascii="仿宋" w:hAnsi="仿宋" w:eastAsia="仿宋" w:cs="仿宋"/>
                <w:kern w:val="1"/>
                <w:sz w:val="24"/>
              </w:rPr>
            </w:pPr>
          </w:p>
        </w:tc>
        <w:tc>
          <w:tcPr>
            <w:tcW w:w="1488" w:type="dxa"/>
            <w:vAlign w:val="top"/>
          </w:tcPr>
          <w:p>
            <w:pPr>
              <w:widowControl/>
              <w:adjustRightInd w:val="0"/>
              <w:snapToGrid w:val="0"/>
              <w:spacing w:line="480" w:lineRule="exact"/>
              <w:jc w:val="left"/>
              <w:rPr>
                <w:rFonts w:hint="eastAsia" w:ascii="FZLTSK--GBK1-0" w:hAnsi="FZLTSK--GBK1-0" w:eastAsia="仿宋" w:cs="FZLTSK--GBK1-0"/>
                <w:kern w:val="0"/>
                <w:szCs w:val="21"/>
                <w:lang w:eastAsia="zh-CN" w:bidi="ar"/>
              </w:rPr>
            </w:pPr>
            <w:r>
              <w:rPr>
                <w:rFonts w:hint="eastAsia" w:ascii="FZLTSK--GBK1-0" w:hAnsi="FZLTSK--GBK1-0" w:eastAsia="仿宋" w:cs="FZLTSK--GBK1-0"/>
                <w:kern w:val="0"/>
                <w:szCs w:val="21"/>
                <w:lang w:eastAsia="zh-CN" w:bidi="ar"/>
              </w:rPr>
              <w:t>合计</w:t>
            </w:r>
          </w:p>
        </w:tc>
        <w:tc>
          <w:tcPr>
            <w:tcW w:w="5572" w:type="dxa"/>
            <w:vAlign w:val="top"/>
          </w:tcPr>
          <w:p>
            <w:pPr>
              <w:spacing w:line="480" w:lineRule="atLeast"/>
              <w:jc w:val="left"/>
              <w:rPr>
                <w:rFonts w:hint="eastAsia" w:ascii="FZLTSK--GBK1-0" w:hAnsi="FZLTSK--GBK1-0" w:eastAsia="仿宋" w:cs="FZLTSK--GBK1-0"/>
                <w:kern w:val="0"/>
                <w:szCs w:val="21"/>
                <w:lang w:bidi="ar"/>
              </w:rPr>
            </w:pPr>
          </w:p>
        </w:tc>
        <w:tc>
          <w:tcPr>
            <w:tcW w:w="752"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1116</w:t>
            </w:r>
          </w:p>
        </w:tc>
        <w:tc>
          <w:tcPr>
            <w:tcW w:w="616"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62</w:t>
            </w:r>
          </w:p>
        </w:tc>
      </w:tr>
    </w:tbl>
    <w:p>
      <w:pPr>
        <w:spacing w:line="480" w:lineRule="atLeast"/>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（五）实践性教学环节</w:t>
      </w:r>
    </w:p>
    <w:p>
      <w:pPr>
        <w:pStyle w:val="4"/>
        <w:widowControl/>
        <w:spacing w:before="100" w:after="80" w:line="520" w:lineRule="exact"/>
        <w:ind w:firstLine="600" w:firstLineChars="200"/>
        <w:jc w:val="left"/>
        <w:rPr>
          <w:rFonts w:hint="default"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1.综合实训</w:t>
      </w:r>
    </w:p>
    <w:p>
      <w:pPr>
        <w:spacing w:line="620" w:lineRule="exact"/>
        <w:ind w:firstLine="560" w:firstLineChars="200"/>
        <w:rPr>
          <w:rFonts w:hint="default"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综合实训安排在第五学期，为期1天，主要实训内容舞台表现能力，歌曲演唱能力、舞蹈剧目表演能力、钢琴伴奏表演为等。</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2.认知实习</w:t>
      </w:r>
    </w:p>
    <w:p>
      <w:pPr>
        <w:spacing w:line="620" w:lineRule="exact"/>
        <w:ind w:firstLine="560" w:firstLineChars="20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认知实习安排在第一学期，为期2天。</w:t>
      </w:r>
      <w:r>
        <w:rPr>
          <w:rFonts w:hint="eastAsia" w:ascii="仿宋_GB2312" w:eastAsia="仿宋_GB2312"/>
          <w:color w:val="000000" w:themeColor="text1"/>
          <w:sz w:val="28"/>
          <w:szCs w:val="28"/>
          <w14:textFill>
            <w14:solidFill>
              <w14:schemeClr w14:val="tx1"/>
            </w14:solidFill>
          </w14:textFill>
        </w:rPr>
        <w:t>为了让学生更多地了解</w:t>
      </w:r>
      <w:r>
        <w:rPr>
          <w:rFonts w:hint="eastAsia" w:ascii="仿宋_GB2312" w:eastAsia="仿宋_GB2312"/>
          <w:color w:val="000000" w:themeColor="text1"/>
          <w:sz w:val="28"/>
          <w:szCs w:val="28"/>
          <w:lang w:val="en-US" w:eastAsia="zh-CN"/>
          <w14:textFill>
            <w14:solidFill>
              <w14:schemeClr w14:val="tx1"/>
            </w14:solidFill>
          </w14:textFill>
        </w:rPr>
        <w:t>民族音乐与舞蹈</w:t>
      </w:r>
      <w:r>
        <w:rPr>
          <w:rFonts w:hint="eastAsia" w:ascii="仿宋_GB2312" w:eastAsia="仿宋_GB2312"/>
          <w:color w:val="000000" w:themeColor="text1"/>
          <w:sz w:val="28"/>
          <w:szCs w:val="28"/>
          <w14:textFill>
            <w14:solidFill>
              <w14:schemeClr w14:val="tx1"/>
            </w14:solidFill>
          </w14:textFill>
        </w:rPr>
        <w:t>专业，增强学生对专业的认识，提高学生对专业学习的兴趣。组织学生到</w:t>
      </w:r>
      <w:r>
        <w:rPr>
          <w:rFonts w:hint="eastAsia" w:ascii="仿宋_GB2312" w:eastAsia="仿宋_GB2312"/>
          <w:color w:val="000000" w:themeColor="text1"/>
          <w:sz w:val="28"/>
          <w:szCs w:val="28"/>
          <w:lang w:eastAsia="zh-CN"/>
          <w14:textFill>
            <w14:solidFill>
              <w14:schemeClr w14:val="tx1"/>
            </w14:solidFill>
          </w14:textFill>
        </w:rPr>
        <w:t>相关</w:t>
      </w:r>
      <w:r>
        <w:rPr>
          <w:rFonts w:hint="eastAsia" w:ascii="仿宋_GB2312" w:eastAsia="仿宋_GB2312"/>
          <w:color w:val="000000" w:themeColor="text1"/>
          <w:sz w:val="28"/>
          <w:szCs w:val="28"/>
          <w14:textFill>
            <w14:solidFill>
              <w14:schemeClr w14:val="tx1"/>
            </w14:solidFill>
          </w14:textFill>
        </w:rPr>
        <w:t>机构或企业进行</w:t>
      </w:r>
      <w:r>
        <w:rPr>
          <w:rFonts w:hint="eastAsia" w:ascii="仿宋_GB2312" w:eastAsia="仿宋_GB2312"/>
          <w:color w:val="000000" w:themeColor="text1"/>
          <w:sz w:val="28"/>
          <w:szCs w:val="28"/>
          <w:lang w:eastAsia="zh-CN"/>
          <w14:textFill>
            <w14:solidFill>
              <w14:schemeClr w14:val="tx1"/>
            </w14:solidFill>
          </w14:textFill>
        </w:rPr>
        <w:t>认知实习</w:t>
      </w:r>
      <w:r>
        <w:rPr>
          <w:rFonts w:hint="eastAsia" w:ascii="仿宋_GB2312" w:eastAsia="仿宋_GB2312"/>
          <w:color w:val="000000" w:themeColor="text1"/>
          <w:sz w:val="28"/>
          <w:szCs w:val="28"/>
          <w14:textFill>
            <w14:solidFill>
              <w14:schemeClr w14:val="tx1"/>
            </w14:solidFill>
          </w14:textFill>
        </w:rPr>
        <w:t>，让学生对企业文化知识、岗位能力基本要求等有一定的了解，能较直观地了解专业相关的工作岗位，增强学生学习专业知识和掌握专业技能的信心，为后继学习专业知识和专业技能奠定坚实的基础。</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3.跟岗实习</w:t>
      </w:r>
    </w:p>
    <w:p>
      <w:pPr>
        <w:spacing w:line="62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跟岗实习安排在第四学期，为期一周。</w:t>
      </w:r>
      <w:r>
        <w:rPr>
          <w:rFonts w:hint="eastAsia" w:ascii="仿宋_GB2312" w:eastAsia="仿宋_GB2312"/>
          <w:color w:val="000000" w:themeColor="text1"/>
          <w:sz w:val="28"/>
          <w:szCs w:val="28"/>
          <w14:textFill>
            <w14:solidFill>
              <w14:schemeClr w14:val="tx1"/>
            </w14:solidFill>
          </w14:textFill>
        </w:rPr>
        <w:t>为提升</w:t>
      </w:r>
      <w:r>
        <w:rPr>
          <w:rFonts w:hint="eastAsia" w:ascii="仿宋_GB2312" w:eastAsia="仿宋_GB2312"/>
          <w:color w:val="000000" w:themeColor="text1"/>
          <w:sz w:val="28"/>
          <w:szCs w:val="28"/>
          <w:lang w:eastAsia="zh-CN"/>
          <w14:textFill>
            <w14:solidFill>
              <w14:schemeClr w14:val="tx1"/>
            </w14:solidFill>
          </w14:textFill>
        </w:rPr>
        <w:t>实习</w:t>
      </w:r>
      <w:r>
        <w:rPr>
          <w:rFonts w:hint="eastAsia" w:ascii="仿宋_GB2312" w:eastAsia="仿宋_GB2312"/>
          <w:color w:val="000000" w:themeColor="text1"/>
          <w:sz w:val="28"/>
          <w:szCs w:val="28"/>
          <w14:textFill>
            <w14:solidFill>
              <w14:schemeClr w14:val="tx1"/>
            </w14:solidFill>
          </w14:textFill>
        </w:rPr>
        <w:t>质量，提高学生实践动手能力，结合企业和岗位需求，巩固专项实训过程中掌握的岗位操作技能，增强学生对行业的感性认识，提高专业技能，培养吃苦耐劳的敬业精神，培养沟通合作能力和责任意识。在综合实训项目与企业岗位操作紧密结合，为参加顶岗实习、毕业就业打下坚实基础</w:t>
      </w:r>
      <w:r>
        <w:rPr>
          <w:rFonts w:hint="eastAsia" w:ascii="仿宋_GB2312" w:eastAsia="仿宋_GB2312"/>
          <w:color w:val="000000" w:themeColor="text1"/>
          <w:sz w:val="28"/>
          <w:szCs w:val="28"/>
          <w:lang w:eastAsia="zh-CN"/>
          <w14:textFill>
            <w14:solidFill>
              <w14:schemeClr w14:val="tx1"/>
            </w14:solidFill>
          </w14:textFill>
        </w:rPr>
        <w:t>。</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4.顶岗实习</w:t>
      </w:r>
    </w:p>
    <w:p>
      <w:pPr>
        <w:spacing w:line="620" w:lineRule="exac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顶岗实习安排在第</w:t>
      </w:r>
      <w:r>
        <w:rPr>
          <w:rFonts w:hint="eastAsia" w:ascii="仿宋_GB2312" w:eastAsia="仿宋_GB2312"/>
          <w:color w:val="000000" w:themeColor="text1"/>
          <w:sz w:val="28"/>
          <w:szCs w:val="28"/>
          <w:lang w:eastAsia="zh-CN"/>
          <w14:textFill>
            <w14:solidFill>
              <w14:schemeClr w14:val="tx1"/>
            </w14:solidFill>
          </w14:textFill>
        </w:rPr>
        <w:t>五</w:t>
      </w:r>
      <w:r>
        <w:rPr>
          <w:rFonts w:hint="eastAsia" w:ascii="仿宋_GB2312" w:eastAsia="仿宋_GB2312"/>
          <w:color w:val="000000" w:themeColor="text1"/>
          <w:sz w:val="28"/>
          <w:szCs w:val="28"/>
          <w14:textFill>
            <w14:solidFill>
              <w14:schemeClr w14:val="tx1"/>
            </w14:solidFill>
          </w14:textFill>
        </w:rPr>
        <w:t>学期，为期</w:t>
      </w:r>
      <w:r>
        <w:rPr>
          <w:rFonts w:hint="eastAsia" w:ascii="仿宋_GB2312" w:eastAsia="仿宋_GB2312"/>
          <w:color w:val="000000" w:themeColor="text1"/>
          <w:sz w:val="28"/>
          <w:szCs w:val="28"/>
          <w:lang w:val="en-US" w:eastAsia="zh-CN"/>
          <w14:textFill>
            <w14:solidFill>
              <w14:schemeClr w14:val="tx1"/>
            </w14:solidFill>
          </w14:textFill>
        </w:rPr>
        <w:t>20周。</w:t>
      </w:r>
      <w:r>
        <w:rPr>
          <w:rFonts w:hint="eastAsia" w:ascii="仿宋_GB2312" w:eastAsia="仿宋_GB2312"/>
          <w:color w:val="000000" w:themeColor="text1"/>
          <w:sz w:val="28"/>
          <w:szCs w:val="28"/>
          <w14:textFill>
            <w14:solidFill>
              <w14:schemeClr w14:val="tx1"/>
            </w14:solidFill>
          </w14:textFill>
        </w:rPr>
        <w:t>通过岗位实习，使学生进一步巩固所学理论知识，接受企业指导教师的专业技能和专业理论指导。在职业岗位环境和工作氛围中进行基本作业项目的实训，提高实践能力。培养、锻炼学生综合运用所学专业知识的能力和独立分析，解决实际问题的能力，拓宽知识面，加深对理论知识的理解，积累实际工作经验，从而为以后的专业学习创造有利条件。还可以了解行业现况，了解行业各岗位对人才的需求，培养吃苦耐劳的品质和良好的职业道德、职业素质；培养与人交流、沟通的能力，增强团队合作精神，促进学生由学校人向社会人的转变。</w:t>
      </w:r>
    </w:p>
    <w:p>
      <w:pPr>
        <w:pStyle w:val="25"/>
        <w:numPr>
          <w:ilvl w:val="0"/>
          <w:numId w:val="3"/>
        </w:numPr>
        <w:spacing w:line="480" w:lineRule="atLeast"/>
        <w:ind w:firstLineChars="0"/>
        <w:outlineLvl w:val="0"/>
        <w:rPr>
          <w:rFonts w:ascii="黑体" w:hAnsi="黑体" w:eastAsia="黑体" w:cs="黑体"/>
          <w:b/>
          <w:bCs/>
          <w:color w:val="000000" w:themeColor="text1"/>
          <w:sz w:val="32"/>
          <w:szCs w:val="32"/>
          <w14:textFill>
            <w14:solidFill>
              <w14:schemeClr w14:val="tx1"/>
            </w14:solidFill>
          </w14:textFill>
        </w:rPr>
      </w:pPr>
      <w:bookmarkStart w:id="36" w:name="_Toc2491"/>
      <w:r>
        <w:rPr>
          <w:rFonts w:hint="eastAsia" w:ascii="黑体" w:hAnsi="黑体" w:eastAsia="黑体" w:cs="黑体"/>
          <w:b/>
          <w:bCs/>
          <w:color w:val="000000" w:themeColor="text1"/>
          <w:sz w:val="32"/>
          <w:szCs w:val="32"/>
          <w14:textFill>
            <w14:solidFill>
              <w14:schemeClr w14:val="tx1"/>
            </w14:solidFill>
          </w14:textFill>
        </w:rPr>
        <w:t>教学进程总体安排</w:t>
      </w:r>
      <w:bookmarkEnd w:id="36"/>
    </w:p>
    <w:p>
      <w:pPr>
        <w:pStyle w:val="25"/>
        <w:numPr>
          <w:ilvl w:val="0"/>
          <w:numId w:val="4"/>
        </w:numPr>
        <w:spacing w:line="480" w:lineRule="atLeast"/>
        <w:ind w:firstLineChars="0"/>
        <w:outlineLvl w:val="1"/>
        <w:rPr>
          <w:rFonts w:hint="eastAsia" w:ascii="仿宋_GB2312" w:eastAsia="仿宋_GB2312"/>
          <w:color w:val="000000" w:themeColor="text1"/>
          <w:sz w:val="28"/>
          <w:szCs w:val="28"/>
          <w:lang w:val="en-US" w:eastAsia="zh-CN"/>
          <w14:textFill>
            <w14:solidFill>
              <w14:schemeClr w14:val="tx1"/>
            </w14:solidFill>
          </w14:textFill>
        </w:rPr>
      </w:pPr>
      <w:bookmarkStart w:id="37" w:name="_Toc24796"/>
      <w:r>
        <w:rPr>
          <w:rFonts w:hint="eastAsia" w:ascii="楷体" w:hAnsi="楷体" w:eastAsia="楷体" w:cs="楷体"/>
          <w:b/>
          <w:bCs/>
          <w:sz w:val="32"/>
          <w:szCs w:val="32"/>
        </w:rPr>
        <w:t>基本要求</w:t>
      </w:r>
      <w:bookmarkEnd w:id="37"/>
    </w:p>
    <w:p>
      <w:pPr>
        <w:pStyle w:val="25"/>
        <w:numPr>
          <w:ilvl w:val="0"/>
          <w:numId w:val="0"/>
        </w:numPr>
        <w:spacing w:line="480" w:lineRule="atLeast"/>
        <w:ind w:leftChars="0" w:firstLine="560" w:firstLineChars="200"/>
        <w:outlineLvl w:val="1"/>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 </w:t>
      </w:r>
      <w:r>
        <w:rPr>
          <w:rFonts w:hint="eastAsia" w:ascii="仿宋_GB2312" w:eastAsia="仿宋_GB2312"/>
          <w:color w:val="000000" w:themeColor="text1"/>
          <w:sz w:val="28"/>
          <w:szCs w:val="28"/>
          <w:lang w:val="en-US" w:eastAsia="zh-CN"/>
          <w14:textFill>
            <w14:solidFill>
              <w14:schemeClr w14:val="tx1"/>
            </w14:solidFill>
          </w14:textFill>
        </w:rPr>
        <w:t>1.教学总周数110周（顶岗实习为半年，按20周计算），每学期教学为18周，不含半期、期末和机动时间，全学年为36周，三年总学时数3421学时。</w:t>
      </w:r>
    </w:p>
    <w:p>
      <w:pPr>
        <w:spacing w:line="620" w:lineRule="exact"/>
        <w:ind w:firstLine="560" w:firstLineChars="200"/>
        <w:rPr>
          <w:rFonts w:hint="eastAsia" w:ascii="仿宋_GB2312"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2.公共基础课程学时</w:t>
      </w:r>
      <w:r>
        <w:rPr>
          <w:rFonts w:hint="eastAsia" w:ascii="仿宋_GB2312" w:eastAsia="仿宋_GB2312"/>
          <w:color w:val="000000" w:themeColor="text1"/>
          <w:sz w:val="28"/>
          <w:szCs w:val="28"/>
          <w:lang w:eastAsia="zh-CN"/>
          <w14:textFill>
            <w14:solidFill>
              <w14:schemeClr w14:val="tx1"/>
            </w14:solidFill>
          </w14:textFill>
        </w:rPr>
        <w:t>为</w:t>
      </w:r>
      <w:r>
        <w:rPr>
          <w:rFonts w:hint="eastAsia" w:ascii="仿宋_GB2312" w:eastAsia="仿宋_GB2312"/>
          <w:color w:val="000000" w:themeColor="text1"/>
          <w:sz w:val="28"/>
          <w:szCs w:val="28"/>
          <w:lang w:val="en-US" w:eastAsia="zh-CN"/>
          <w14:textFill>
            <w14:solidFill>
              <w14:schemeClr w14:val="tx1"/>
            </w14:solidFill>
          </w14:textFill>
        </w:rPr>
        <w:t>1304</w:t>
      </w:r>
      <w:r>
        <w:rPr>
          <w:rFonts w:hint="eastAsia" w:ascii="仿宋_GB2312" w:eastAsia="仿宋_GB2312"/>
          <w:color w:val="000000" w:themeColor="text1"/>
          <w:sz w:val="28"/>
          <w:szCs w:val="28"/>
          <w14:textFill>
            <w14:solidFill>
              <w14:schemeClr w14:val="tx1"/>
            </w14:solidFill>
          </w14:textFill>
        </w:rPr>
        <w:t>学时，占总学时的</w:t>
      </w:r>
      <w:r>
        <w:rPr>
          <w:rFonts w:hint="eastAsia" w:ascii="仿宋_GB2312" w:eastAsia="仿宋_GB2312"/>
          <w:color w:val="000000" w:themeColor="text1"/>
          <w:sz w:val="28"/>
          <w:szCs w:val="28"/>
          <w:lang w:val="en-US" w:eastAsia="zh-CN"/>
          <w14:textFill>
            <w14:solidFill>
              <w14:schemeClr w14:val="tx1"/>
            </w14:solidFill>
          </w14:textFill>
        </w:rPr>
        <w:t>36.32</w:t>
      </w:r>
      <w:r>
        <w:rPr>
          <w:rFonts w:hint="eastAsia" w:ascii="仿宋_GB2312" w:eastAsia="仿宋_GB2312"/>
          <w:color w:val="000000" w:themeColor="text1"/>
          <w:sz w:val="28"/>
          <w:szCs w:val="28"/>
          <w14:textFill>
            <w14:solidFill>
              <w14:schemeClr w14:val="tx1"/>
            </w14:solidFill>
          </w14:textFill>
        </w:rPr>
        <w:t>%，专业技能课</w:t>
      </w:r>
      <w:r>
        <w:rPr>
          <w:rFonts w:hint="eastAsia" w:ascii="仿宋_GB2312" w:eastAsia="仿宋_GB2312"/>
          <w:color w:val="000000" w:themeColor="text1"/>
          <w:sz w:val="28"/>
          <w:szCs w:val="28"/>
          <w:lang w:eastAsia="zh-CN"/>
          <w14:textFill>
            <w14:solidFill>
              <w14:schemeClr w14:val="tx1"/>
            </w14:solidFill>
          </w14:textFill>
        </w:rPr>
        <w:t>为</w:t>
      </w:r>
      <w:r>
        <w:rPr>
          <w:rFonts w:hint="eastAsia" w:ascii="仿宋_GB2312" w:eastAsia="仿宋_GB2312"/>
          <w:color w:val="000000" w:themeColor="text1"/>
          <w:sz w:val="28"/>
          <w:szCs w:val="28"/>
          <w:lang w:val="en-US" w:eastAsia="zh-CN"/>
          <w14:textFill>
            <w14:solidFill>
              <w14:schemeClr w14:val="tx1"/>
            </w14:solidFill>
          </w14:textFill>
        </w:rPr>
        <w:t>1458</w:t>
      </w:r>
      <w:r>
        <w:rPr>
          <w:rFonts w:hint="eastAsia" w:ascii="仿宋_GB2312" w:eastAsia="仿宋_GB2312"/>
          <w:color w:val="000000" w:themeColor="text1"/>
          <w:sz w:val="28"/>
          <w:szCs w:val="28"/>
          <w14:textFill>
            <w14:solidFill>
              <w14:schemeClr w14:val="tx1"/>
            </w14:solidFill>
          </w14:textFill>
        </w:rPr>
        <w:t>学时（其中专业</w:t>
      </w:r>
      <w:r>
        <w:rPr>
          <w:rFonts w:hint="eastAsia" w:ascii="仿宋_GB2312" w:eastAsia="仿宋_GB2312"/>
          <w:color w:val="000000" w:themeColor="text1"/>
          <w:sz w:val="28"/>
          <w:szCs w:val="28"/>
          <w:lang w:eastAsia="zh-CN"/>
          <w14:textFill>
            <w14:solidFill>
              <w14:schemeClr w14:val="tx1"/>
            </w14:solidFill>
          </w14:textFill>
        </w:rPr>
        <w:t>基础课</w:t>
      </w:r>
      <w:r>
        <w:rPr>
          <w:rFonts w:hint="eastAsia" w:ascii="仿宋_GB2312" w:eastAsia="仿宋_GB2312"/>
          <w:color w:val="000000" w:themeColor="text1"/>
          <w:sz w:val="28"/>
          <w:szCs w:val="28"/>
          <w:lang w:val="en-US" w:eastAsia="zh-CN"/>
          <w14:textFill>
            <w14:solidFill>
              <w14:schemeClr w14:val="tx1"/>
            </w14:solidFill>
          </w14:textFill>
        </w:rPr>
        <w:t>324</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、专业核心课</w:t>
      </w:r>
      <w:r>
        <w:rPr>
          <w:rFonts w:hint="eastAsia" w:ascii="仿宋_GB2312" w:eastAsia="仿宋_GB2312"/>
          <w:color w:val="000000" w:themeColor="text1"/>
          <w:sz w:val="28"/>
          <w:szCs w:val="28"/>
          <w:lang w:val="en-US" w:eastAsia="zh-CN"/>
          <w14:textFill>
            <w14:solidFill>
              <w14:schemeClr w14:val="tx1"/>
            </w14:solidFill>
          </w14:textFill>
        </w:rPr>
        <w:t>612</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val="en-US"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技能方向课</w:t>
      </w:r>
      <w:r>
        <w:rPr>
          <w:rFonts w:hint="eastAsia" w:ascii="仿宋_GB2312" w:eastAsia="仿宋_GB2312"/>
          <w:color w:val="000000" w:themeColor="text1"/>
          <w:sz w:val="28"/>
          <w:szCs w:val="28"/>
          <w:lang w:val="en-US" w:eastAsia="zh-CN"/>
          <w14:textFill>
            <w14:solidFill>
              <w14:schemeClr w14:val="tx1"/>
            </w14:solidFill>
          </w14:textFill>
        </w:rPr>
        <w:t>450</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顶岗实习</w:t>
      </w:r>
      <w:r>
        <w:rPr>
          <w:rFonts w:hint="eastAsia" w:ascii="仿宋_GB2312" w:eastAsia="仿宋_GB2312"/>
          <w:color w:val="000000" w:themeColor="text1"/>
          <w:sz w:val="28"/>
          <w:szCs w:val="28"/>
          <w:lang w:val="en-US" w:eastAsia="zh-CN"/>
          <w14:textFill>
            <w14:solidFill>
              <w14:schemeClr w14:val="tx1"/>
            </w14:solidFill>
          </w14:textFill>
        </w:rPr>
        <w:t>600</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占总学时的</w:t>
      </w:r>
      <w:r>
        <w:rPr>
          <w:rFonts w:hint="eastAsia" w:ascii="仿宋_GB2312" w:eastAsia="仿宋_GB2312"/>
          <w:color w:val="000000" w:themeColor="text1"/>
          <w:sz w:val="28"/>
          <w:szCs w:val="28"/>
          <w:lang w:val="en-US" w:eastAsia="zh-CN"/>
          <w14:textFill>
            <w14:solidFill>
              <w14:schemeClr w14:val="tx1"/>
            </w14:solidFill>
          </w14:textFill>
        </w:rPr>
        <w:t>70.56</w:t>
      </w:r>
      <w:r>
        <w:rPr>
          <w:rFonts w:hint="eastAsia" w:ascii="仿宋_GB2312" w:eastAsia="仿宋_GB2312"/>
          <w:color w:val="000000" w:themeColor="text1"/>
          <w:sz w:val="28"/>
          <w:szCs w:val="28"/>
          <w14:textFill>
            <w14:solidFill>
              <w14:schemeClr w14:val="tx1"/>
            </w14:solidFill>
          </w14:textFill>
        </w:rPr>
        <w:t>%</w:t>
      </w:r>
      <w:r>
        <w:rPr>
          <w:rFonts w:hint="eastAsia" w:ascii="仿宋_GB2312" w:eastAsia="仿宋_GB2312"/>
          <w:color w:val="000000" w:themeColor="text1"/>
          <w:sz w:val="28"/>
          <w:szCs w:val="28"/>
          <w:lang w:eastAsia="zh-CN"/>
          <w14:textFill>
            <w14:solidFill>
              <w14:schemeClr w14:val="tx1"/>
            </w14:solidFill>
          </w14:textFill>
        </w:rPr>
        <w:t>。）</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sectPr>
          <w:footerReference r:id="rId4" w:type="default"/>
          <w:pgSz w:w="11906" w:h="16838"/>
          <w:pgMar w:top="1440" w:right="1440" w:bottom="1440" w:left="1440" w:header="851" w:footer="992" w:gutter="0"/>
          <w:pgNumType w:start="1"/>
          <w:cols w:space="0" w:num="1"/>
          <w:docGrid w:type="lines" w:linePitch="312" w:charSpace="0"/>
        </w:sectPr>
      </w:pPr>
    </w:p>
    <w:p>
      <w:pPr>
        <w:pStyle w:val="25"/>
        <w:numPr>
          <w:ilvl w:val="0"/>
          <w:numId w:val="4"/>
        </w:numPr>
        <w:spacing w:line="480" w:lineRule="atLeast"/>
        <w:ind w:firstLineChars="0"/>
        <w:outlineLvl w:val="1"/>
        <w:rPr>
          <w:rFonts w:ascii="楷体" w:hAnsi="楷体" w:eastAsia="楷体" w:cs="楷体"/>
          <w:b/>
          <w:bCs/>
          <w:sz w:val="32"/>
          <w:szCs w:val="32"/>
        </w:rPr>
      </w:pPr>
      <w:r>
        <w:rPr>
          <w:rFonts w:hint="eastAsia" w:ascii="楷体" w:hAnsi="楷体" w:eastAsia="楷体" w:cs="楷体"/>
          <w:b/>
          <w:bCs/>
          <w:sz w:val="32"/>
          <w:szCs w:val="32"/>
        </w:rPr>
        <w:t>教学进度计划表</w:t>
      </w:r>
    </w:p>
    <w:tbl>
      <w:tblPr>
        <w:tblStyle w:val="15"/>
        <w:tblpPr w:leftFromText="180" w:rightFromText="180" w:vertAnchor="text" w:horzAnchor="page" w:tblpXSpec="center" w:tblpY="1008"/>
        <w:tblOverlap w:val="never"/>
        <w:tblW w:w="15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751"/>
        <w:gridCol w:w="752"/>
        <w:gridCol w:w="874"/>
        <w:gridCol w:w="882"/>
        <w:gridCol w:w="874"/>
        <w:gridCol w:w="1182"/>
        <w:gridCol w:w="874"/>
        <w:gridCol w:w="874"/>
        <w:gridCol w:w="874"/>
        <w:gridCol w:w="877"/>
        <w:gridCol w:w="877"/>
        <w:gridCol w:w="878"/>
        <w:gridCol w:w="874"/>
        <w:gridCol w:w="875"/>
        <w:gridCol w:w="874"/>
        <w:gridCol w:w="875"/>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bookmarkStart w:id="38" w:name="_Toc21384"/>
            <w:r>
              <w:rPr>
                <w:rFonts w:hint="eastAsia" w:ascii="仿宋" w:hAnsi="仿宋" w:eastAsia="仿宋" w:cs="仿宋"/>
                <w:b/>
                <w:bCs/>
                <w:i w:val="0"/>
                <w:iCs w:val="0"/>
                <w:color w:val="000000"/>
                <w:kern w:val="0"/>
                <w:sz w:val="21"/>
                <w:szCs w:val="21"/>
                <w:u w:val="none"/>
                <w:lang w:val="en-US" w:eastAsia="zh-CN" w:bidi="ar"/>
              </w:rPr>
              <w:t>课程结构</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8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课程编码</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118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课程名称</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课程类型</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参考学分</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考核方式</w:t>
            </w:r>
          </w:p>
        </w:tc>
        <w:tc>
          <w:tcPr>
            <w:tcW w:w="2632"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参考学时</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1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理论学时</w:t>
            </w:r>
          </w:p>
        </w:tc>
        <w:tc>
          <w:tcPr>
            <w:tcW w:w="87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实践学时</w:t>
            </w:r>
          </w:p>
        </w:tc>
        <w:tc>
          <w:tcPr>
            <w:tcW w:w="1749"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第一学年</w:t>
            </w:r>
          </w:p>
        </w:tc>
        <w:tc>
          <w:tcPr>
            <w:tcW w:w="1749"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第二学年</w:t>
            </w:r>
          </w:p>
        </w:tc>
        <w:tc>
          <w:tcPr>
            <w:tcW w:w="1750"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1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四</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五</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18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公共基础课</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中国特色社会主义</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顶岗实习</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心理健康与职业生涯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5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哲学与人生</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职业道德与法律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语文</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144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历史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计算机应用基础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9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体育与健康</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4"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11112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美术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物理</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贵州省生态文明读本</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11115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军训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7" w:type="dxa"/>
            <w:shd w:val="clear" w:color="auto" w:fill="auto"/>
            <w:noWrap/>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p>
        </w:tc>
        <w:tc>
          <w:tcPr>
            <w:tcW w:w="87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仿宋" w:hAnsi="仿宋" w:eastAsia="仿宋" w:cs="仿宋"/>
                <w:i w:val="0"/>
                <w:iCs w:val="0"/>
                <w:color w:val="000000"/>
                <w:kern w:val="0"/>
                <w:sz w:val="21"/>
                <w:szCs w:val="21"/>
                <w:u w:val="none"/>
                <w:lang w:val="en-US" w:eastAsia="zh-CN" w:bidi="ar"/>
              </w:rPr>
              <w:t>2周</w:t>
            </w:r>
          </w:p>
        </w:tc>
        <w:tc>
          <w:tcPr>
            <w:tcW w:w="875"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4"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劳动教育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1周</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52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iCs w:val="0"/>
                <w:color w:val="000000"/>
                <w:kern w:val="0"/>
                <w:sz w:val="22"/>
                <w:szCs w:val="22"/>
                <w:u w:val="none"/>
                <w:lang w:val="en-US" w:eastAsia="zh-CN" w:bidi="ar"/>
              </w:rPr>
              <w:t>998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iCs w:val="0"/>
                <w:color w:val="000000"/>
                <w:kern w:val="0"/>
                <w:sz w:val="22"/>
                <w:szCs w:val="22"/>
                <w:u w:val="none"/>
                <w:lang w:val="en-US" w:eastAsia="zh-CN" w:bidi="ar"/>
              </w:rPr>
              <w:t>650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348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17</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职场应用写作与交流</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数学（下）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英语口语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153204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球类运动</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104</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7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288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94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外国历史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中华优秀传统文化</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自然科学基础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11120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就业指导与创业教育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11121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贵州省情</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11122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法治意识教育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9"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11114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化学</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5"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小计（7选2）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rPr>
            </w:pP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67</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1322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780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542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9</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专业课</w:t>
            </w: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基本乐理</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视唱练耳</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154103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钢琴基础训练</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普通话</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56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3</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360</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88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专业核心课</w:t>
            </w: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视唱练耳</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eastAsia"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民族民间音乐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中外声乐史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155207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钢琴基础训练</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126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126</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kern w:val="0"/>
                <w:sz w:val="20"/>
                <w:szCs w:val="20"/>
                <w:u w:val="none"/>
                <w:lang w:val="en-US" w:eastAsia="zh-CN" w:bidi="ar"/>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合唱与指挥</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144</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155210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钢琴即兴伴奏</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144</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7</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155111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芭蕾基训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252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252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8</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155212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舞蹈编导</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198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190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9</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155213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古典身韵</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162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154</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舞蹈剧目</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162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158</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11</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声乐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default" w:ascii="仿宋" w:hAnsi="仿宋" w:eastAsia="仿宋" w:cs="仿宋"/>
                <w:i w:val="0"/>
                <w:color w:val="000000"/>
                <w:sz w:val="21"/>
                <w:szCs w:val="21"/>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12</w:t>
            </w:r>
          </w:p>
        </w:tc>
        <w:tc>
          <w:tcPr>
            <w:tcW w:w="874" w:type="dxa"/>
            <w:shd w:val="clear" w:color="auto" w:fill="auto"/>
            <w:tcMar>
              <w:top w:w="15" w:type="dxa"/>
              <w:left w:w="15" w:type="dxa"/>
              <w:right w:w="15" w:type="dxa"/>
            </w:tcMar>
            <w:vAlign w:val="center"/>
          </w:tcPr>
          <w:p>
            <w:pPr>
              <w:keepNext w:val="0"/>
              <w:keepLines w:val="0"/>
              <w:widowControl/>
              <w:suppressLineNumbers w:val="0"/>
              <w:ind w:firstLine="200" w:firstLineChars="100"/>
              <w:jc w:val="both"/>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12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155210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中国民族民间舞</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216</w:t>
            </w:r>
          </w:p>
        </w:tc>
        <w:tc>
          <w:tcPr>
            <w:tcW w:w="877"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216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21</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实践性教学环节</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综合实训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安排在第4学期，为期1周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jc w:val="center"/>
            </w:pP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认知实习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877"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878"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安排第1学期进行，为期1天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jc w:val="center"/>
            </w:pP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跟岗实习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30</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30</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安排第4学期进行，为期1周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jc w:val="center"/>
            </w:pP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顶岗实习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600</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600</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安排在第三学年第一学期进行，为期20周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64" w:hRule="atLeast"/>
          <w:jc w:val="center"/>
        </w:trPr>
        <w:tc>
          <w:tcPr>
            <w:tcW w:w="7937"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总计</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3295</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1208</w:t>
            </w:r>
          </w:p>
        </w:tc>
        <w:tc>
          <w:tcPr>
            <w:tcW w:w="878" w:type="dxa"/>
            <w:shd w:val="clear" w:color="auto" w:fill="auto"/>
            <w:tcMar>
              <w:top w:w="15" w:type="dxa"/>
              <w:left w:w="15" w:type="dxa"/>
              <w:right w:w="15" w:type="dxa"/>
            </w:tcMar>
            <w:vAlign w:val="center"/>
          </w:tcPr>
          <w:p>
            <w:pPr>
              <w:keepNext w:val="0"/>
              <w:keepLines w:val="0"/>
              <w:widowControl/>
              <w:suppressLineNumbers w:val="0"/>
              <w:ind w:firstLine="210" w:firstLineChars="100"/>
              <w:jc w:val="both"/>
              <w:textAlignment w:val="center"/>
            </w:pPr>
            <w:r>
              <w:rPr>
                <w:rFonts w:hint="eastAsia" w:ascii="仿宋" w:hAnsi="仿宋" w:eastAsia="仿宋" w:cs="仿宋"/>
                <w:i w:val="0"/>
                <w:iCs w:val="0"/>
                <w:color w:val="000000"/>
                <w:kern w:val="0"/>
                <w:sz w:val="21"/>
                <w:szCs w:val="21"/>
                <w:u w:val="none"/>
                <w:lang w:val="en-US" w:eastAsia="zh-CN" w:bidi="ar"/>
              </w:rPr>
              <w:t>2087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jc w:val="cente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99" w:hRule="atLeast"/>
          <w:jc w:val="center"/>
        </w:trPr>
        <w:tc>
          <w:tcPr>
            <w:tcW w:w="75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课程比例</w:t>
            </w: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公共基础课占比=公共课学时/总学时</w:t>
            </w:r>
          </w:p>
        </w:tc>
        <w:tc>
          <w:tcPr>
            <w:tcW w:w="7003"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30.28%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99"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选修课学时占比=选修课学时/总学时</w:t>
            </w:r>
          </w:p>
        </w:tc>
        <w:tc>
          <w:tcPr>
            <w:tcW w:w="7003"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44"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实践教学学时占比=总实践教学学时/总学时</w:t>
            </w:r>
          </w:p>
        </w:tc>
        <w:tc>
          <w:tcPr>
            <w:tcW w:w="7003"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63.33%</w:t>
            </w:r>
          </w:p>
        </w:tc>
      </w:tr>
      <w:bookmarkEnd w:id="38"/>
    </w:tbl>
    <w:p>
      <w:pPr>
        <w:pStyle w:val="25"/>
        <w:widowControl w:val="0"/>
        <w:numPr>
          <w:ilvl w:val="0"/>
          <w:numId w:val="0"/>
        </w:numPr>
        <w:spacing w:line="480" w:lineRule="atLeast"/>
        <w:jc w:val="both"/>
        <w:outlineLvl w:val="1"/>
        <w:rPr>
          <w:rFonts w:hint="eastAsia" w:ascii="楷体" w:hAnsi="楷体" w:eastAsia="楷体" w:cs="楷体"/>
          <w:b/>
          <w:bCs/>
          <w:sz w:val="32"/>
          <w:szCs w:val="32"/>
        </w:rPr>
      </w:pPr>
    </w:p>
    <w:p>
      <w:pPr>
        <w:pStyle w:val="25"/>
        <w:numPr>
          <w:ilvl w:val="0"/>
          <w:numId w:val="0"/>
        </w:numPr>
        <w:spacing w:line="480" w:lineRule="atLeast"/>
        <w:ind w:leftChars="0"/>
        <w:outlineLvl w:val="1"/>
        <w:rPr>
          <w:rFonts w:ascii="楷体" w:hAnsi="楷体" w:eastAsia="楷体" w:cs="楷体"/>
          <w:b/>
          <w:bCs/>
          <w:sz w:val="32"/>
          <w:szCs w:val="32"/>
        </w:rPr>
        <w:sectPr>
          <w:footerReference r:id="rId5" w:type="default"/>
          <w:pgSz w:w="16838" w:h="11906" w:orient="landscape"/>
          <w:pgMar w:top="1440" w:right="1440" w:bottom="1440" w:left="1440" w:header="851" w:footer="992" w:gutter="0"/>
          <w:pgNumType w:start="12"/>
          <w:cols w:space="0" w:num="1"/>
          <w:docGrid w:type="lines" w:linePitch="312" w:charSpace="0"/>
        </w:sectPr>
      </w:pPr>
      <w:bookmarkStart w:id="66" w:name="_GoBack"/>
      <w:bookmarkEnd w:id="66"/>
    </w:p>
    <w:p>
      <w:pPr>
        <w:pStyle w:val="25"/>
        <w:spacing w:line="480" w:lineRule="atLeast"/>
        <w:ind w:left="0" w:leftChars="0" w:firstLine="0" w:firstLineChars="0"/>
        <w:outlineLvl w:val="1"/>
        <w:rPr>
          <w:rFonts w:ascii="楷体" w:hAnsi="楷体" w:eastAsia="楷体" w:cs="楷体"/>
          <w:b/>
          <w:bCs/>
          <w:sz w:val="32"/>
          <w:szCs w:val="32"/>
        </w:rPr>
      </w:pPr>
    </w:p>
    <w:p>
      <w:pPr>
        <w:spacing w:line="480" w:lineRule="atLeast"/>
        <w:outlineLvl w:val="0"/>
        <w:rPr>
          <w:rFonts w:ascii="黑体" w:hAnsi="黑体" w:eastAsia="黑体" w:cs="黑体"/>
          <w:b/>
          <w:bCs/>
          <w:color w:val="000000" w:themeColor="text1"/>
          <w:sz w:val="32"/>
          <w:szCs w:val="32"/>
          <w14:textFill>
            <w14:solidFill>
              <w14:schemeClr w14:val="tx1"/>
            </w14:solidFill>
          </w14:textFill>
        </w:rPr>
      </w:pPr>
      <w:bookmarkStart w:id="39" w:name="_Toc4153"/>
      <w:r>
        <w:rPr>
          <w:rFonts w:hint="eastAsia" w:ascii="黑体" w:hAnsi="黑体" w:eastAsia="黑体" w:cs="黑体"/>
          <w:b/>
          <w:bCs/>
          <w:color w:val="000000" w:themeColor="text1"/>
          <w:sz w:val="32"/>
          <w:szCs w:val="32"/>
          <w14:textFill>
            <w14:solidFill>
              <w14:schemeClr w14:val="tx1"/>
            </w14:solidFill>
          </w14:textFill>
        </w:rPr>
        <w:t>八、实施保障</w:t>
      </w:r>
      <w:bookmarkEnd w:id="39"/>
    </w:p>
    <w:p>
      <w:pPr>
        <w:spacing w:line="480" w:lineRule="atLeast"/>
        <w:outlineLvl w:val="1"/>
        <w:rPr>
          <w:rFonts w:ascii="仿宋" w:hAnsi="仿宋" w:eastAsia="仿宋" w:cs="仿宋"/>
          <w:color w:val="FF0000"/>
          <w:sz w:val="28"/>
          <w:szCs w:val="28"/>
        </w:rPr>
      </w:pPr>
      <w:bookmarkStart w:id="40" w:name="_Toc20903_WPSOffice_Level2"/>
      <w:bookmarkStart w:id="41" w:name="_Toc5095_WPSOffice_Level2"/>
      <w:bookmarkStart w:id="42" w:name="_Toc16964"/>
      <w:r>
        <w:rPr>
          <w:rFonts w:hint="eastAsia" w:ascii="楷体" w:hAnsi="楷体" w:eastAsia="楷体" w:cs="楷体"/>
          <w:b/>
          <w:bCs/>
          <w:color w:val="000000" w:themeColor="text1"/>
          <w:sz w:val="32"/>
          <w:szCs w:val="32"/>
          <w14:textFill>
            <w14:solidFill>
              <w14:schemeClr w14:val="tx1"/>
            </w14:solidFill>
          </w14:textFill>
        </w:rPr>
        <w:t>（一）师资条件</w:t>
      </w:r>
      <w:bookmarkEnd w:id="40"/>
      <w:bookmarkEnd w:id="41"/>
      <w:bookmarkEnd w:id="42"/>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我校</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专业现有</w:t>
      </w:r>
      <w:r>
        <w:rPr>
          <w:rFonts w:ascii="仿宋" w:hAnsi="仿宋" w:eastAsia="仿宋" w:cs="仿宋"/>
          <w:color w:val="000000" w:themeColor="text1"/>
          <w:sz w:val="28"/>
          <w:szCs w:val="28"/>
          <w14:textFill>
            <w14:solidFill>
              <w14:schemeClr w14:val="tx1"/>
            </w14:solidFill>
          </w14:textFill>
        </w:rPr>
        <w:t>专</w:t>
      </w:r>
      <w:r>
        <w:rPr>
          <w:rFonts w:hint="eastAsia" w:ascii="仿宋" w:hAnsi="仿宋" w:eastAsia="仿宋" w:cs="仿宋"/>
          <w:color w:val="000000" w:themeColor="text1"/>
          <w:sz w:val="28"/>
          <w:szCs w:val="28"/>
          <w14:textFill>
            <w14:solidFill>
              <w14:schemeClr w14:val="tx1"/>
            </w14:solidFill>
          </w14:textFill>
        </w:rPr>
        <w:t>业</w:t>
      </w:r>
      <w:r>
        <w:rPr>
          <w:rFonts w:ascii="仿宋" w:hAnsi="仿宋" w:eastAsia="仿宋" w:cs="仿宋"/>
          <w:color w:val="000000" w:themeColor="text1"/>
          <w:sz w:val="28"/>
          <w:szCs w:val="28"/>
          <w14:textFill>
            <w14:solidFill>
              <w14:schemeClr w14:val="tx1"/>
            </w14:solidFill>
          </w14:textFill>
        </w:rPr>
        <w:t>教师</w:t>
      </w:r>
      <w:r>
        <w:rPr>
          <w:rFonts w:hint="eastAsia" w:ascii="仿宋" w:hAnsi="仿宋" w:eastAsia="仿宋" w:cs="仿宋"/>
          <w:color w:val="000000" w:themeColor="text1"/>
          <w:sz w:val="28"/>
          <w:szCs w:val="28"/>
          <w:lang w:val="en-US" w:eastAsia="zh-CN"/>
          <w14:textFill>
            <w14:solidFill>
              <w14:schemeClr w14:val="tx1"/>
            </w14:solidFill>
          </w14:textFill>
        </w:rPr>
        <w:t>13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能满足我校</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专业教学的师资条件，</w:t>
      </w:r>
      <w:r>
        <w:rPr>
          <w:rFonts w:ascii="仿宋" w:hAnsi="仿宋" w:eastAsia="仿宋" w:cs="仿宋"/>
          <w:color w:val="000000" w:themeColor="text1"/>
          <w:sz w:val="28"/>
          <w:szCs w:val="28"/>
          <w14:textFill>
            <w14:solidFill>
              <w14:schemeClr w14:val="tx1"/>
            </w14:solidFill>
          </w14:textFill>
        </w:rPr>
        <w:t>其教师组成情况</w:t>
      </w:r>
      <w:r>
        <w:rPr>
          <w:rFonts w:hint="eastAsia" w:ascii="仿宋" w:hAnsi="仿宋" w:eastAsia="仿宋" w:cs="仿宋"/>
          <w:color w:val="000000" w:themeColor="text1"/>
          <w:sz w:val="28"/>
          <w:szCs w:val="28"/>
          <w14:textFill>
            <w14:solidFill>
              <w14:schemeClr w14:val="tx1"/>
            </w14:solidFill>
          </w14:textFill>
        </w:rPr>
        <w:t>如下</w:t>
      </w:r>
      <w:r>
        <w:rPr>
          <w:rFonts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本科</w:t>
      </w:r>
      <w:r>
        <w:rPr>
          <w:rFonts w:hint="eastAsia" w:ascii="仿宋" w:hAnsi="仿宋" w:eastAsia="仿宋" w:cs="仿宋"/>
          <w:color w:val="000000" w:themeColor="text1"/>
          <w:sz w:val="28"/>
          <w:szCs w:val="28"/>
          <w:lang w:val="en-US" w:eastAsia="zh-CN"/>
          <w14:textFill>
            <w14:solidFill>
              <w14:schemeClr w14:val="tx1"/>
            </w14:solidFill>
          </w14:textFill>
        </w:rPr>
        <w:t>13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本科占专业教师的</w:t>
      </w:r>
      <w:r>
        <w:rPr>
          <w:rFonts w:hint="eastAsia" w:ascii="仿宋" w:hAnsi="仿宋" w:eastAsia="仿宋" w:cs="仿宋"/>
          <w:color w:val="000000" w:themeColor="text1"/>
          <w:sz w:val="28"/>
          <w:szCs w:val="28"/>
          <w:lang w:val="en-US" w:eastAsia="zh-CN"/>
          <w14:textFill>
            <w14:solidFill>
              <w14:schemeClr w14:val="tx1"/>
            </w14:solidFill>
          </w14:textFill>
        </w:rPr>
        <w:t>100</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高级</w:t>
      </w:r>
      <w:r>
        <w:rPr>
          <w:rFonts w:hint="eastAsia" w:ascii="仿宋" w:hAnsi="仿宋" w:eastAsia="仿宋" w:cs="仿宋"/>
          <w:color w:val="000000" w:themeColor="text1"/>
          <w:sz w:val="28"/>
          <w:szCs w:val="28"/>
          <w:lang w:eastAsia="zh-CN"/>
          <w14:textFill>
            <w14:solidFill>
              <w14:schemeClr w14:val="tx1"/>
            </w14:solidFill>
          </w14:textFill>
        </w:rPr>
        <w:t>讲师</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lang w:eastAsia="zh-CN"/>
          <w14:textFill>
            <w14:solidFill>
              <w14:schemeClr w14:val="tx1"/>
            </w14:solidFill>
          </w14:textFill>
        </w:rPr>
        <w:t>讲师</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中高级职称占专业教师</w:t>
      </w:r>
      <w:r>
        <w:rPr>
          <w:rFonts w:hint="eastAsia" w:ascii="仿宋" w:hAnsi="仿宋" w:eastAsia="仿宋" w:cs="仿宋"/>
          <w:color w:val="000000" w:themeColor="text1"/>
          <w:sz w:val="28"/>
          <w:szCs w:val="28"/>
          <w14:textFill>
            <w14:solidFill>
              <w14:schemeClr w14:val="tx1"/>
            </w14:solidFill>
          </w14:textFill>
        </w:rPr>
        <w:t>的</w:t>
      </w:r>
      <w:r>
        <w:rPr>
          <w:rFonts w:hint="eastAsia" w:ascii="仿宋" w:hAnsi="仿宋" w:eastAsia="仿宋" w:cs="仿宋"/>
          <w:color w:val="000000" w:themeColor="text1"/>
          <w:sz w:val="28"/>
          <w:szCs w:val="28"/>
          <w:lang w:val="en-US" w:eastAsia="zh-CN"/>
          <w14:textFill>
            <w14:solidFill>
              <w14:schemeClr w14:val="tx1"/>
            </w14:solidFill>
          </w14:textFill>
        </w:rPr>
        <w:t>69.2</w:t>
      </w:r>
      <w:r>
        <w:rPr>
          <w:rFonts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在专业教师中有双师型教师</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占专业教师的</w:t>
      </w:r>
      <w:r>
        <w:rPr>
          <w:rFonts w:hint="eastAsia" w:ascii="仿宋" w:hAnsi="仿宋" w:eastAsia="仿宋" w:cs="仿宋"/>
          <w:color w:val="000000" w:themeColor="text1"/>
          <w:sz w:val="28"/>
          <w:szCs w:val="28"/>
          <w:lang w:val="en-US" w:eastAsia="zh-CN"/>
          <w14:textFill>
            <w14:solidFill>
              <w14:schemeClr w14:val="tx1"/>
            </w14:solidFill>
          </w14:textFill>
        </w:rPr>
        <w:t>61.5</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w:t>
      </w:r>
    </w:p>
    <w:p>
      <w:pPr>
        <w:spacing w:line="480" w:lineRule="exact"/>
        <w:ind w:firstLine="480" w:firstLineChars="200"/>
        <w:jc w:val="center"/>
        <w:rPr>
          <w:rFonts w:ascii="仿宋" w:hAnsi="仿宋" w:eastAsia="仿宋" w:cs="仿宋"/>
          <w:sz w:val="24"/>
        </w:rPr>
      </w:pPr>
      <w:r>
        <w:rPr>
          <w:rFonts w:hint="eastAsia" w:ascii="仿宋" w:hAnsi="仿宋" w:eastAsia="仿宋" w:cs="仿宋"/>
          <w:sz w:val="24"/>
        </w:rPr>
        <w:t>专业教师基本信息统计表</w:t>
      </w:r>
    </w:p>
    <w:tbl>
      <w:tblPr>
        <w:tblStyle w:val="15"/>
        <w:tblpPr w:leftFromText="180" w:rightFromText="180" w:vertAnchor="text" w:horzAnchor="page" w:tblpX="1376" w:tblpY="320"/>
        <w:tblOverlap w:val="never"/>
        <w:tblW w:w="9318" w:type="dxa"/>
        <w:tblInd w:w="0" w:type="dxa"/>
        <w:tblLayout w:type="fixed"/>
        <w:tblCellMar>
          <w:top w:w="15" w:type="dxa"/>
          <w:left w:w="15" w:type="dxa"/>
          <w:bottom w:w="15" w:type="dxa"/>
          <w:right w:w="15" w:type="dxa"/>
        </w:tblCellMar>
      </w:tblPr>
      <w:tblGrid>
        <w:gridCol w:w="1159"/>
        <w:gridCol w:w="764"/>
        <w:gridCol w:w="512"/>
        <w:gridCol w:w="567"/>
        <w:gridCol w:w="582"/>
        <w:gridCol w:w="972"/>
        <w:gridCol w:w="941"/>
        <w:gridCol w:w="1080"/>
        <w:gridCol w:w="1395"/>
        <w:gridCol w:w="1346"/>
      </w:tblGrid>
      <w:tr>
        <w:tblPrEx>
          <w:tblCellMar>
            <w:top w:w="15" w:type="dxa"/>
            <w:left w:w="15" w:type="dxa"/>
            <w:bottom w:w="15" w:type="dxa"/>
            <w:right w:w="15" w:type="dxa"/>
          </w:tblCellMar>
        </w:tblPrEx>
        <w:trPr>
          <w:trHeight w:val="594" w:hRule="atLeast"/>
        </w:trPr>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类别</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教师</w:t>
            </w:r>
          </w:p>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姓名</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性别</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年龄</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学历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专业</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在编或外聘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职称</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技能资格证</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是否双师型</w:t>
            </w:r>
          </w:p>
        </w:tc>
      </w:tr>
      <w:tr>
        <w:tblPrEx>
          <w:tblCellMar>
            <w:top w:w="15" w:type="dxa"/>
            <w:left w:w="15" w:type="dxa"/>
            <w:bottom w:w="15" w:type="dxa"/>
            <w:right w:w="15" w:type="dxa"/>
          </w:tblCellMar>
        </w:tblPrEx>
        <w:trPr>
          <w:trHeight w:val="404" w:hRule="atLeast"/>
        </w:trPr>
        <w:tc>
          <w:tcPr>
            <w:tcW w:w="1159" w:type="dxa"/>
            <w:vMerge w:val="restart"/>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专业教师</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田应昌</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57</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省音乐家协会会员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ind w:right="-34" w:rightChars="-16"/>
              <w:jc w:val="center"/>
              <w:textAlignment w:val="center"/>
              <w:rPr>
                <w:rFonts w:ascii="仿宋" w:hAnsi="仿宋" w:eastAsia="仿宋" w:cs="仿宋"/>
                <w:szCs w:val="21"/>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蒋丽</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45</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lang w:val="en-US" w:eastAsia="zh-CN"/>
              </w:rPr>
              <w:t>本</w:t>
            </w:r>
            <w:r>
              <w:rPr>
                <w:rFonts w:hint="eastAsia" w:ascii="仿宋" w:hAnsi="仿宋" w:eastAsia="仿宋" w:cs="仿宋"/>
                <w:szCs w:val="21"/>
              </w:rPr>
              <w:t>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kern w:val="0"/>
                <w:szCs w:val="21"/>
              </w:rPr>
              <w:t>音乐</w:t>
            </w:r>
            <w:r>
              <w:rPr>
                <w:rFonts w:hint="eastAsia" w:ascii="仿宋" w:hAnsi="仿宋" w:eastAsia="仿宋" w:cs="仿宋"/>
                <w:kern w:val="0"/>
                <w:szCs w:val="21"/>
                <w:lang w:eastAsia="zh-CN"/>
              </w:rPr>
              <w:t>教育</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花鼓指导师</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任群</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47</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汉语言文学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省级普通话测试员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姚建华</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40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eastAsia" w:ascii="仿宋" w:hAnsi="仿宋" w:eastAsia="仿宋" w:cs="仿宋"/>
                <w:kern w:val="0"/>
                <w:szCs w:val="21"/>
                <w:lang w:val="en-US" w:eastAsia="zh-CN"/>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杨春妮</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37</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eastAsia" w:ascii="仿宋" w:hAnsi="仿宋" w:eastAsia="仿宋" w:cs="仿宋"/>
                <w:kern w:val="0"/>
                <w:szCs w:val="21"/>
                <w:lang w:val="en-US" w:eastAsia="zh-CN"/>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color w:val="5B9BD5" w:themeColor="accent1"/>
                <w:szCs w:val="21"/>
                <w14:textFill>
                  <w14:solidFill>
                    <w14:schemeClr w14:val="accent1"/>
                  </w14:solidFill>
                </w14:textFill>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詹婷</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28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舞蹈表演</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龙艳</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23</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rPr>
              <w:t>舞蹈</w:t>
            </w:r>
            <w:r>
              <w:rPr>
                <w:rFonts w:hint="eastAsia" w:ascii="仿宋" w:hAnsi="仿宋" w:eastAsia="仿宋" w:cs="仿宋"/>
                <w:kern w:val="0"/>
                <w:szCs w:val="21"/>
                <w:lang w:eastAsia="zh-CN"/>
              </w:rPr>
              <w:t>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default" w:ascii="仿宋" w:hAnsi="仿宋" w:eastAsia="仿宋" w:cs="仿宋"/>
                <w:szCs w:val="21"/>
                <w:lang w:val="en-US" w:eastAsia="zh-CN"/>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王明华</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p>
        </w:tc>
      </w:tr>
      <w:tr>
        <w:tblPrEx>
          <w:tblCellMar>
            <w:top w:w="15" w:type="dxa"/>
            <w:left w:w="15" w:type="dxa"/>
            <w:bottom w:w="15" w:type="dxa"/>
            <w:right w:w="15" w:type="dxa"/>
          </w:tblCellMar>
        </w:tblPrEx>
        <w:trPr>
          <w:trHeight w:val="404"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王学刚</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rPr>
            </w:pPr>
            <w:r>
              <w:rPr>
                <w:rFonts w:hint="eastAsia" w:ascii="仿宋" w:hAnsi="仿宋" w:eastAsia="仿宋" w:cs="仿宋"/>
                <w:kern w:val="0"/>
                <w:szCs w:val="21"/>
                <w:lang w:val="en-US" w:eastAsia="zh-CN"/>
              </w:rPr>
              <w:t>39</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助理讲师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p>
        </w:tc>
      </w:tr>
      <w:tr>
        <w:tblPrEx>
          <w:tblCellMar>
            <w:top w:w="15" w:type="dxa"/>
            <w:left w:w="15" w:type="dxa"/>
            <w:bottom w:w="15" w:type="dxa"/>
            <w:right w:w="15" w:type="dxa"/>
          </w:tblCellMar>
        </w:tblPrEx>
        <w:trPr>
          <w:trHeight w:val="207"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张飞</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31</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助理讲师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kern w:val="0"/>
                <w:szCs w:val="21"/>
              </w:rPr>
              <w:t>铜仁市音乐家会员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22"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谢大举</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31</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助理讲师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r>
      <w:tr>
        <w:tblPrEx>
          <w:tblCellMar>
            <w:top w:w="15" w:type="dxa"/>
            <w:left w:w="15" w:type="dxa"/>
            <w:bottom w:w="15" w:type="dxa"/>
            <w:right w:w="15" w:type="dxa"/>
          </w:tblCellMar>
        </w:tblPrEx>
        <w:trPr>
          <w:trHeight w:val="272" w:hRule="atLeast"/>
        </w:trPr>
        <w:tc>
          <w:tcPr>
            <w:tcW w:w="1159" w:type="dxa"/>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吴伟</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29</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szCs w:val="21"/>
              </w:rPr>
              <w:t>钢琴八级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302" w:hRule="atLeast"/>
        </w:trPr>
        <w:tc>
          <w:tcPr>
            <w:tcW w:w="1159" w:type="dxa"/>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龙艳</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28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舞蹈表演</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是</w:t>
            </w:r>
          </w:p>
        </w:tc>
      </w:tr>
    </w:tbl>
    <w:p>
      <w:pPr>
        <w:spacing w:line="480" w:lineRule="atLeast"/>
        <w:ind w:firstLine="638" w:firstLineChars="228"/>
        <w:rPr>
          <w:rFonts w:ascii="仿宋" w:hAnsi="仿宋" w:eastAsia="仿宋" w:cs="仿宋"/>
          <w:color w:val="000000" w:themeColor="text1"/>
          <w:sz w:val="28"/>
          <w:szCs w:val="28"/>
          <w14:textFill>
            <w14:solidFill>
              <w14:schemeClr w14:val="tx1"/>
            </w14:solidFill>
          </w14:textFill>
        </w:rPr>
      </w:pPr>
    </w:p>
    <w:p>
      <w:pPr>
        <w:spacing w:line="480" w:lineRule="atLeast"/>
        <w:outlineLvl w:val="1"/>
        <w:rPr>
          <w:rFonts w:ascii="楷体" w:hAnsi="楷体" w:eastAsia="楷体" w:cs="楷体"/>
          <w:b/>
          <w:bCs/>
          <w:color w:val="000000" w:themeColor="text1"/>
          <w:sz w:val="32"/>
          <w:szCs w:val="32"/>
          <w14:textFill>
            <w14:solidFill>
              <w14:schemeClr w14:val="tx1"/>
            </w14:solidFill>
          </w14:textFill>
        </w:rPr>
      </w:pPr>
      <w:bookmarkStart w:id="43" w:name="_Toc29216_WPSOffice_Level2"/>
      <w:bookmarkStart w:id="44" w:name="_Toc12089_WPSOffice_Level2"/>
      <w:bookmarkStart w:id="45" w:name="_Toc22827"/>
      <w:r>
        <w:rPr>
          <w:rFonts w:hint="eastAsia" w:ascii="楷体" w:hAnsi="楷体" w:eastAsia="楷体" w:cs="楷体"/>
          <w:b/>
          <w:bCs/>
          <w:color w:val="000000" w:themeColor="text1"/>
          <w:sz w:val="32"/>
          <w:szCs w:val="32"/>
          <w14:textFill>
            <w14:solidFill>
              <w14:schemeClr w14:val="tx1"/>
            </w14:solidFill>
          </w14:textFill>
        </w:rPr>
        <w:t>（二）</w:t>
      </w:r>
      <w:bookmarkEnd w:id="43"/>
      <w:bookmarkEnd w:id="44"/>
      <w:r>
        <w:rPr>
          <w:rFonts w:hint="eastAsia" w:ascii="楷体" w:hAnsi="楷体" w:eastAsia="楷体" w:cs="楷体"/>
          <w:b/>
          <w:bCs/>
          <w:color w:val="000000" w:themeColor="text1"/>
          <w:sz w:val="32"/>
          <w:szCs w:val="32"/>
          <w14:textFill>
            <w14:solidFill>
              <w14:schemeClr w14:val="tx1"/>
            </w14:solidFill>
          </w14:textFill>
        </w:rPr>
        <w:t>教学设施</w:t>
      </w:r>
      <w:bookmarkEnd w:id="45"/>
    </w:p>
    <w:p>
      <w:pPr>
        <w:spacing w:line="480" w:lineRule="atLeast"/>
        <w:ind w:firstLine="643" w:firstLineChars="200"/>
        <w:rPr>
          <w:rFonts w:ascii="楷体" w:hAnsi="楷体" w:eastAsia="楷体" w:cs="楷体"/>
          <w:b/>
          <w:bCs/>
          <w:sz w:val="32"/>
          <w:szCs w:val="32"/>
        </w:rPr>
      </w:pPr>
      <w:r>
        <w:rPr>
          <w:rFonts w:hint="eastAsia" w:ascii="楷体" w:hAnsi="楷体" w:eastAsia="楷体" w:cs="楷体"/>
          <w:b/>
          <w:bCs/>
          <w:sz w:val="32"/>
          <w:szCs w:val="32"/>
        </w:rPr>
        <w:t>1、校内实训基地</w:t>
      </w:r>
    </w:p>
    <w:p>
      <w:pPr>
        <w:spacing w:line="480" w:lineRule="atLeast"/>
        <w:ind w:firstLine="64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校内实训基地及设备</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1.民族声乐实训室</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3270"/>
        <w:gridCol w:w="2640"/>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602"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序号</w:t>
            </w:r>
          </w:p>
        </w:tc>
        <w:tc>
          <w:tcPr>
            <w:tcW w:w="3270"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实训室名称</w:t>
            </w:r>
          </w:p>
        </w:tc>
        <w:tc>
          <w:tcPr>
            <w:tcW w:w="5370" w:type="dxa"/>
            <w:gridSpan w:val="2"/>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02" w:type="dxa"/>
            <w:vMerge w:val="continue"/>
          </w:tcPr>
          <w:p>
            <w:pPr>
              <w:spacing w:line="480" w:lineRule="atLeast"/>
              <w:jc w:val="center"/>
              <w:rPr>
                <w:rFonts w:hint="eastAsia" w:ascii="FZLTSK--GBK1-0" w:hAnsi="FZLTSK--GBK1-0" w:eastAsia="仿宋" w:cs="FZLTSK--GBK1-0"/>
                <w:kern w:val="0"/>
                <w:szCs w:val="21"/>
                <w:lang w:bidi="ar"/>
              </w:rPr>
            </w:pPr>
          </w:p>
        </w:tc>
        <w:tc>
          <w:tcPr>
            <w:tcW w:w="3270" w:type="dxa"/>
            <w:vMerge w:val="continue"/>
          </w:tcPr>
          <w:p>
            <w:pPr>
              <w:spacing w:line="480" w:lineRule="atLeast"/>
              <w:jc w:val="center"/>
              <w:rPr>
                <w:rFonts w:hint="eastAsia" w:ascii="FZLTSK--GBK1-0" w:hAnsi="FZLTSK--GBK1-0" w:eastAsia="仿宋" w:cs="FZLTSK--GBK1-0"/>
                <w:kern w:val="0"/>
                <w:szCs w:val="21"/>
                <w:lang w:bidi="ar"/>
              </w:rPr>
            </w:pP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名称</w:t>
            </w:r>
          </w:p>
        </w:tc>
        <w:tc>
          <w:tcPr>
            <w:tcW w:w="273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w:t>
            </w:r>
          </w:p>
        </w:tc>
        <w:tc>
          <w:tcPr>
            <w:tcW w:w="327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合唱排练厅</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三角钢琴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2</w:t>
            </w:r>
          </w:p>
        </w:tc>
        <w:tc>
          <w:tcPr>
            <w:tcW w:w="327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器乐排练厅</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三角钢琴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2"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3</w:t>
            </w:r>
          </w:p>
        </w:tc>
        <w:tc>
          <w:tcPr>
            <w:tcW w:w="3270"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钢琴实训室（含电钢和立式）</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电钢</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50台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2" w:type="dxa"/>
            <w:vMerge w:val="continue"/>
          </w:tcPr>
          <w:p>
            <w:pPr>
              <w:spacing w:line="480" w:lineRule="atLeast"/>
              <w:jc w:val="left"/>
              <w:rPr>
                <w:rFonts w:hint="eastAsia" w:ascii="FZLTSK--GBK1-0" w:hAnsi="FZLTSK--GBK1-0" w:eastAsia="仿宋" w:cs="FZLTSK--GBK1-0"/>
                <w:kern w:val="0"/>
                <w:szCs w:val="21"/>
                <w:lang w:bidi="ar"/>
              </w:rPr>
            </w:pPr>
          </w:p>
        </w:tc>
        <w:tc>
          <w:tcPr>
            <w:tcW w:w="3270" w:type="dxa"/>
            <w:vMerge w:val="continue"/>
          </w:tcPr>
          <w:p>
            <w:pPr>
              <w:spacing w:line="480" w:lineRule="atLeast"/>
              <w:jc w:val="center"/>
              <w:rPr>
                <w:rFonts w:hint="eastAsia" w:ascii="FZLTSK--GBK1-0" w:hAnsi="FZLTSK--GBK1-0" w:eastAsia="仿宋" w:cs="FZLTSK--GBK1-0"/>
                <w:kern w:val="0"/>
                <w:szCs w:val="21"/>
                <w:lang w:bidi="ar"/>
              </w:rPr>
            </w:pP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立式钢琴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55台</w:t>
            </w:r>
          </w:p>
        </w:tc>
      </w:tr>
    </w:tbl>
    <w:p>
      <w:pPr>
        <w:tabs>
          <w:tab w:val="left" w:pos="312"/>
        </w:tabs>
        <w:spacing w:line="480" w:lineRule="atLeast"/>
        <w:ind w:left="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2.民族舞蹈实训室</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3168"/>
        <w:gridCol w:w="2402"/>
        <w:gridCol w:w="2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序号</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实训室名称</w:t>
            </w:r>
          </w:p>
        </w:tc>
        <w:tc>
          <w:tcPr>
            <w:tcW w:w="4804" w:type="dxa"/>
            <w:gridSpan w:val="2"/>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FZLTSK--GBK1-0" w:hAnsi="FZLTSK--GBK1-0" w:eastAsia="仿宋" w:cs="FZLTSK--GBK1-0"/>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名称</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w:t>
            </w:r>
          </w:p>
          <w:p>
            <w:pPr>
              <w:spacing w:line="480" w:lineRule="atLeast"/>
              <w:jc w:val="center"/>
              <w:rPr>
                <w:rFonts w:hint="eastAsia" w:ascii="仿宋" w:hAnsi="仿宋" w:eastAsia="仿宋" w:cs="仿宋"/>
                <w:kern w:val="0"/>
                <w:szCs w:val="21"/>
                <w:lang w:bidi="ar"/>
              </w:rPr>
            </w:pPr>
          </w:p>
          <w:p>
            <w:pPr>
              <w:spacing w:line="480" w:lineRule="atLeast"/>
              <w:jc w:val="center"/>
              <w:rPr>
                <w:rFonts w:hint="eastAsia" w:ascii="仿宋" w:hAnsi="仿宋" w:eastAsia="仿宋" w:cs="仿宋"/>
                <w:kern w:val="0"/>
                <w:szCs w:val="21"/>
                <w:lang w:bidi="ar"/>
              </w:rPr>
            </w:pP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舞蹈实训室一</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2</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舞蹈实训室二</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3</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舞蹈实训室三</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107"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bl>
    <w:p>
      <w:pPr>
        <w:spacing w:line="480" w:lineRule="atLeast"/>
        <w:rPr>
          <w:rFonts w:ascii="仿宋" w:hAnsi="仿宋" w:eastAsia="仿宋" w:cs="仿宋"/>
          <w:color w:val="000000" w:themeColor="text1"/>
          <w:sz w:val="32"/>
          <w:szCs w:val="32"/>
          <w14:textFill>
            <w14:solidFill>
              <w14:schemeClr w14:val="tx1"/>
            </w14:solidFill>
          </w14:textFill>
        </w:rPr>
      </w:pP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480" w:lineRule="atLeas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（2）学校拟购教学设备与仪器</w:t>
      </w:r>
      <w:r>
        <w:rPr>
          <w:rFonts w:hint="eastAsia" w:ascii="仿宋" w:hAnsi="仿宋" w:eastAsia="仿宋" w:cs="仿宋"/>
          <w:color w:val="000000" w:themeColor="text1"/>
          <w:sz w:val="32"/>
          <w:szCs w:val="32"/>
          <w14:textFill>
            <w14:solidFill>
              <w14:schemeClr w14:val="tx1"/>
            </w14:solidFill>
          </w14:textFill>
        </w:rPr>
        <w:t xml:space="preserve">  </w:t>
      </w:r>
    </w:p>
    <w:tbl>
      <w:tblPr>
        <w:tblStyle w:val="15"/>
        <w:tblpPr w:leftFromText="180" w:rightFromText="180" w:vertAnchor="text" w:horzAnchor="page" w:tblpX="1162" w:tblpY="512"/>
        <w:tblOverlap w:val="never"/>
        <w:tblW w:w="10045" w:type="dxa"/>
        <w:tblInd w:w="0" w:type="dxa"/>
        <w:tblLayout w:type="fixed"/>
        <w:tblCellMar>
          <w:top w:w="0" w:type="dxa"/>
          <w:left w:w="0" w:type="dxa"/>
          <w:bottom w:w="0" w:type="dxa"/>
          <w:right w:w="0" w:type="dxa"/>
        </w:tblCellMar>
      </w:tblPr>
      <w:tblGrid>
        <w:gridCol w:w="898"/>
        <w:gridCol w:w="1057"/>
        <w:gridCol w:w="1323"/>
        <w:gridCol w:w="3310"/>
        <w:gridCol w:w="700"/>
        <w:gridCol w:w="1600"/>
        <w:gridCol w:w="1157"/>
      </w:tblGrid>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序号</w:t>
            </w:r>
          </w:p>
        </w:tc>
        <w:tc>
          <w:tcPr>
            <w:tcW w:w="10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实验室名称</w:t>
            </w: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设备名称</w:t>
            </w:r>
          </w:p>
        </w:tc>
        <w:tc>
          <w:tcPr>
            <w:tcW w:w="3310"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规格型号</w:t>
            </w:r>
          </w:p>
        </w:tc>
        <w:tc>
          <w:tcPr>
            <w:tcW w:w="700"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ind w:firstLine="210" w:firstLineChars="100"/>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单位</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数量</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备注</w:t>
            </w: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w:t>
            </w:r>
          </w:p>
        </w:tc>
        <w:tc>
          <w:tcPr>
            <w:tcW w:w="1057" w:type="dxa"/>
            <w:vMerge w:val="restart"/>
            <w:tcBorders>
              <w:top w:val="single" w:color="000000" w:sz="4" w:space="0"/>
              <w:left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音</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乐</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训</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室</w:t>
            </w: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ind w:firstLine="420" w:firstLineChars="200"/>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音</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乐</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训</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室</w:t>
            </w: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五线谱电教板</w:t>
            </w:r>
          </w:p>
        </w:tc>
        <w:tc>
          <w:tcPr>
            <w:tcW w:w="3310"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1800*1000*60mm</w:t>
            </w:r>
          </w:p>
        </w:tc>
        <w:tc>
          <w:tcPr>
            <w:tcW w:w="700"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ind w:firstLine="210" w:firstLineChars="100"/>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节拍器</w:t>
            </w:r>
          </w:p>
        </w:tc>
        <w:tc>
          <w:tcPr>
            <w:tcW w:w="3310" w:type="dxa"/>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电子式或机械式</w:t>
            </w:r>
          </w:p>
        </w:tc>
        <w:tc>
          <w:tcPr>
            <w:tcW w:w="700" w:type="dxa"/>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钢琴</w:t>
            </w:r>
          </w:p>
        </w:tc>
        <w:tc>
          <w:tcPr>
            <w:tcW w:w="3310" w:type="dxa"/>
            <w:tcBorders>
              <w:top w:val="single" w:color="auto"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珠江130R</w:t>
            </w:r>
          </w:p>
        </w:tc>
        <w:tc>
          <w:tcPr>
            <w:tcW w:w="700" w:type="dxa"/>
            <w:tcBorders>
              <w:top w:val="single" w:color="auto"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adjustRightInd w:val="0"/>
              <w:snapToGrid w:val="0"/>
              <w:spacing w:line="480" w:lineRule="exact"/>
              <w:jc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adjustRightInd w:val="0"/>
              <w:snapToGrid w:val="0"/>
              <w:spacing w:line="480" w:lineRule="exact"/>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音乐教学挂图</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数码电钢琴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美得理电钢琴DP695</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手风琴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120贝斯</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3</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架子鼓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YAMAHA STAGE CUSTOM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9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电吉他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把</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电贝斯</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CORTGB</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美得理  雅马哈 PSR</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谱架</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60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竖笛</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奇美</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成套打击乐器</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响块、木鱼、双响筒、铃鼓、沙锤、碰钟、串铃、三角铁等</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长笛</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百灵(LARK)M4008-18H型C调18孔镀银</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黑管</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YamahaBb调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小号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  JBTR-610</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中音长号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百灵M4083</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次中音长号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 xml:space="preserve">wisemann    </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低音长号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 xml:space="preserve">wisemann    </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大号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   JBEP-1110</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圆号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百灵三键镀银  FH-E60G</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百灵四键双排</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百灵三键单排镀镍</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迷笛四键</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双簧管</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XUQIU  SHL-588</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打鼓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鑫光</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巴松</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BASSON</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fldChar w:fldCharType="begin"/>
            </w:r>
            <w:r>
              <w:instrText xml:space="preserve"> HYPERLINK "http://zhidao.baidu.com/search?word=小军鼓&amp;fr=qb_search_exp&amp;ie=gbk" </w:instrText>
            </w:r>
            <w:r>
              <w:fldChar w:fldCharType="separate"/>
            </w:r>
            <w:r>
              <w:rPr>
                <w:rStyle w:val="18"/>
                <w:rFonts w:hint="eastAsia" w:ascii="仿宋" w:hAnsi="仿宋" w:eastAsia="仿宋" w:cs="仿宋"/>
                <w:color w:val="000000"/>
                <w:szCs w:val="21"/>
              </w:rPr>
              <w:t>小军鼓</w:t>
            </w:r>
            <w:r>
              <w:rPr>
                <w:rStyle w:val="18"/>
                <w:rFonts w:hint="eastAsia" w:ascii="仿宋" w:hAnsi="仿宋" w:eastAsia="仿宋" w:cs="仿宋"/>
                <w:color w:val="000000"/>
                <w:szCs w:val="21"/>
              </w:rPr>
              <w:fldChar w:fldCharType="end"/>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   IBS1051A</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三角钢琴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海伦HGISIDC</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古筝</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fldChar w:fldCharType="begin"/>
            </w:r>
            <w:r>
              <w:instrText xml:space="preserve"> HYPERLINK "http://product.pconline.com.cn/so/s63729/" </w:instrText>
            </w:r>
            <w:r>
              <w:fldChar w:fldCharType="separate"/>
            </w:r>
            <w:r>
              <w:rPr>
                <w:rStyle w:val="18"/>
                <w:rFonts w:hint="eastAsia" w:ascii="仿宋" w:hAnsi="仿宋" w:eastAsia="仿宋" w:cs="仿宋"/>
                <w:color w:val="000000"/>
                <w:szCs w:val="21"/>
              </w:rPr>
              <w:t>敦煌  698T</w:t>
            </w:r>
            <w:r>
              <w:rPr>
                <w:rStyle w:val="18"/>
                <w:rFonts w:hint="eastAsia" w:ascii="仿宋" w:hAnsi="仿宋" w:eastAsia="仿宋" w:cs="仿宋"/>
                <w:color w:val="000000"/>
                <w:szCs w:val="21"/>
              </w:rPr>
              <w:fldChar w:fldCharType="end"/>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扬琴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星海  402B</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爱莫森103有盖</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笛子</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AL-C</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支</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大军鼓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面</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练习钢琴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珠江提高版T1</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三角钢琴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珠江恺散堡</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37</w:t>
            </w:r>
          </w:p>
        </w:tc>
        <w:tc>
          <w:tcPr>
            <w:tcW w:w="1057" w:type="dxa"/>
            <w:vMerge w:val="continue"/>
            <w:tcBorders>
              <w:left w:val="single" w:color="000000" w:sz="4" w:space="0"/>
              <w:bottom w:val="single" w:color="auto"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铁皮档案箱</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舞蹈排练厅</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2"/>
                <w:szCs w:val="22"/>
                <w:lang w:bidi="ar"/>
              </w:rPr>
              <w:t>舞蹈实训室1</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30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2"/>
                <w:szCs w:val="22"/>
                <w:lang w:bidi="ar"/>
              </w:rPr>
              <w:t>舞蹈实训室2</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30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bl>
    <w:p>
      <w:pPr>
        <w:numPr>
          <w:ilvl w:val="0"/>
          <w:numId w:val="6"/>
        </w:numPr>
        <w:spacing w:line="480" w:lineRule="atLeast"/>
        <w:ind w:firstLine="643" w:firstLineChars="200"/>
        <w:rPr>
          <w:rFonts w:ascii="楷体" w:hAnsi="楷体" w:eastAsia="楷体" w:cs="楷体"/>
          <w:b/>
          <w:bCs/>
          <w:sz w:val="32"/>
          <w:szCs w:val="32"/>
        </w:rPr>
      </w:pPr>
      <w:bookmarkStart w:id="46" w:name="_Toc31412_WPSOffice_Level2"/>
      <w:bookmarkStart w:id="47" w:name="_Toc31694_WPSOffice_Level1"/>
      <w:bookmarkStart w:id="48" w:name="_Toc5807"/>
      <w:bookmarkStart w:id="49" w:name="_Toc16392_WPSOffice_Level2"/>
      <w:r>
        <w:rPr>
          <w:rFonts w:hint="eastAsia" w:ascii="楷体" w:hAnsi="楷体" w:eastAsia="楷体" w:cs="楷体"/>
          <w:b/>
          <w:bCs/>
          <w:sz w:val="32"/>
          <w:szCs w:val="32"/>
        </w:rPr>
        <w:t xml:space="preserve">校外实训基地 </w:t>
      </w:r>
    </w:p>
    <w:p>
      <w:pPr>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专业人才培养需要和产业技术发展特点，校外建立实训基地主要是为了学生专业认识、社会实践和顶岗实习。校外实训基地是反应目前专业技能方向新技术，能够同时接纳较多学生学习，能提供真实专业技能方向综合实践岗位训练的场所。根据培养目标要求和实践教学内容，校企合作共同制定实习计划和教学大纲，精心编排教学设计并组织、管理教学过程。</w:t>
      </w: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 w:hAnsi="仿宋" w:eastAsia="仿宋" w:cs="仿宋"/>
          <w:sz w:val="32"/>
          <w:szCs w:val="32"/>
        </w:rPr>
      </w:pPr>
      <w:r>
        <w:rPr>
          <w:rFonts w:hint="eastAsia" w:ascii="仿宋_GB2312" w:eastAsia="仿宋_GB2312"/>
          <w:sz w:val="28"/>
          <w:szCs w:val="28"/>
        </w:rPr>
        <w:t>民族音乐与舞蹈专业主要校外实训基地一览表</w:t>
      </w:r>
    </w:p>
    <w:tbl>
      <w:tblPr>
        <w:tblStyle w:val="15"/>
        <w:tblpPr w:leftFromText="180" w:rightFromText="180" w:vertAnchor="text" w:horzAnchor="page" w:tblpX="954" w:tblpY="540"/>
        <w:tblOverlap w:val="never"/>
        <w:tblW w:w="10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4169"/>
        <w:gridCol w:w="1335"/>
        <w:gridCol w:w="1470"/>
        <w:gridCol w:w="117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422"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序号</w:t>
            </w:r>
          </w:p>
        </w:tc>
        <w:tc>
          <w:tcPr>
            <w:tcW w:w="4169"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合作企业</w:t>
            </w:r>
          </w:p>
        </w:tc>
        <w:tc>
          <w:tcPr>
            <w:tcW w:w="1335"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主要实习业务</w:t>
            </w:r>
          </w:p>
        </w:tc>
        <w:tc>
          <w:tcPr>
            <w:tcW w:w="147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基地类型</w:t>
            </w:r>
          </w:p>
        </w:tc>
        <w:tc>
          <w:tcPr>
            <w:tcW w:w="117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接纳学生数量</w:t>
            </w:r>
          </w:p>
        </w:tc>
        <w:tc>
          <w:tcPr>
            <w:tcW w:w="153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顶岗实习岗位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22" w:type="dxa"/>
          </w:tcPr>
          <w:p>
            <w:pPr>
              <w:widowControl/>
              <w:jc w:val="center"/>
              <w:rPr>
                <w:rFonts w:ascii="仿宋_GB2312" w:hAnsi="Calibri" w:eastAsia="仿宋_GB2312" w:cs="宋体"/>
                <w:szCs w:val="21"/>
              </w:rPr>
            </w:pPr>
            <w:r>
              <w:rPr>
                <w:rFonts w:hint="eastAsia" w:ascii="仿宋_GB2312" w:hAnsi="Calibri" w:eastAsia="仿宋_GB2312" w:cs="宋体"/>
                <w:szCs w:val="21"/>
              </w:rPr>
              <w:t>1</w:t>
            </w:r>
          </w:p>
        </w:tc>
        <w:tc>
          <w:tcPr>
            <w:tcW w:w="4169"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lang w:eastAsia="zh-CN"/>
              </w:rPr>
              <w:t>江西山水实景有限文化公司</w:t>
            </w:r>
          </w:p>
        </w:tc>
        <w:tc>
          <w:tcPr>
            <w:tcW w:w="1335"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rPr>
              <w:t>舞蹈</w:t>
            </w:r>
            <w:r>
              <w:rPr>
                <w:rFonts w:hint="eastAsia" w:ascii="仿宋_GB2312" w:hAnsi="Calibri" w:eastAsia="仿宋_GB2312" w:cs="宋体"/>
                <w:szCs w:val="21"/>
                <w:lang w:eastAsia="zh-CN"/>
              </w:rPr>
              <w:t>、音乐</w:t>
            </w:r>
          </w:p>
        </w:tc>
        <w:tc>
          <w:tcPr>
            <w:tcW w:w="1470" w:type="dxa"/>
          </w:tcPr>
          <w:p>
            <w:pPr>
              <w:widowControl/>
              <w:jc w:val="center"/>
              <w:rPr>
                <w:rFonts w:ascii="仿宋_GB2312" w:hAnsi="Calibri" w:eastAsia="仿宋_GB2312" w:cs="宋体"/>
                <w:szCs w:val="21"/>
              </w:rPr>
            </w:pPr>
            <w:r>
              <w:rPr>
                <w:rFonts w:hint="eastAsia" w:ascii="仿宋_GB2312" w:hAnsi="Calibri" w:eastAsia="仿宋_GB2312" w:cs="宋体"/>
                <w:szCs w:val="21"/>
              </w:rPr>
              <w:t>顶岗实习</w:t>
            </w:r>
          </w:p>
        </w:tc>
        <w:tc>
          <w:tcPr>
            <w:tcW w:w="117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30</w:t>
            </w:r>
          </w:p>
        </w:tc>
        <w:tc>
          <w:tcPr>
            <w:tcW w:w="1530" w:type="dxa"/>
          </w:tcPr>
          <w:p>
            <w:pPr>
              <w:widowControl/>
              <w:jc w:val="center"/>
              <w:rPr>
                <w:rFonts w:ascii="仿宋_GB2312" w:hAnsi="Calibri" w:eastAsia="仿宋_GB2312" w:cs="宋体"/>
                <w:szCs w:val="21"/>
              </w:rPr>
            </w:pPr>
            <w:r>
              <w:rPr>
                <w:rFonts w:hint="eastAsia" w:ascii="仿宋_GB2312" w:hAnsi="Calibri" w:eastAsia="仿宋_GB2312" w:cs="宋体"/>
                <w:szCs w:val="21"/>
              </w:rPr>
              <w:t>舞蹈演员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22" w:type="dxa"/>
          </w:tcPr>
          <w:p>
            <w:pPr>
              <w:widowControl/>
              <w:jc w:val="center"/>
              <w:rPr>
                <w:rFonts w:ascii="仿宋_GB2312" w:hAnsi="Calibri" w:eastAsia="仿宋_GB2312" w:cs="宋体"/>
                <w:szCs w:val="21"/>
              </w:rPr>
            </w:pPr>
            <w:r>
              <w:rPr>
                <w:rFonts w:hint="eastAsia" w:ascii="仿宋_GB2312" w:hAnsi="Calibri" w:eastAsia="仿宋_GB2312" w:cs="宋体"/>
                <w:szCs w:val="21"/>
              </w:rPr>
              <w:t>2</w:t>
            </w:r>
          </w:p>
        </w:tc>
        <w:tc>
          <w:tcPr>
            <w:tcW w:w="4169"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lang w:eastAsia="zh-CN"/>
              </w:rPr>
              <w:t>梵净山歌舞团（原铜仁市文化馆）</w:t>
            </w:r>
          </w:p>
        </w:tc>
        <w:tc>
          <w:tcPr>
            <w:tcW w:w="1335" w:type="dxa"/>
          </w:tcPr>
          <w:p>
            <w:pPr>
              <w:widowControl/>
              <w:jc w:val="center"/>
              <w:rPr>
                <w:rFonts w:ascii="仿宋_GB2312" w:hAnsi="Calibri" w:eastAsia="仿宋_GB2312" w:cs="宋体"/>
                <w:szCs w:val="21"/>
              </w:rPr>
            </w:pPr>
            <w:r>
              <w:rPr>
                <w:rFonts w:hint="eastAsia" w:ascii="仿宋_GB2312" w:hAnsi="Calibri" w:eastAsia="仿宋_GB2312" w:cs="宋体"/>
                <w:szCs w:val="21"/>
              </w:rPr>
              <w:t>舞蹈</w:t>
            </w:r>
          </w:p>
        </w:tc>
        <w:tc>
          <w:tcPr>
            <w:tcW w:w="1470" w:type="dxa"/>
          </w:tcPr>
          <w:p>
            <w:pPr>
              <w:widowControl/>
              <w:jc w:val="center"/>
              <w:rPr>
                <w:rFonts w:ascii="仿宋_GB2312" w:hAnsi="Calibri" w:eastAsia="仿宋_GB2312" w:cs="宋体"/>
                <w:szCs w:val="21"/>
              </w:rPr>
            </w:pPr>
            <w:r>
              <w:rPr>
                <w:rFonts w:hint="eastAsia" w:ascii="仿宋_GB2312" w:hAnsi="Calibri" w:eastAsia="仿宋_GB2312" w:cs="宋体"/>
                <w:szCs w:val="21"/>
              </w:rPr>
              <w:t>顶岗实习</w:t>
            </w:r>
          </w:p>
        </w:tc>
        <w:tc>
          <w:tcPr>
            <w:tcW w:w="117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20</w:t>
            </w:r>
          </w:p>
        </w:tc>
        <w:tc>
          <w:tcPr>
            <w:tcW w:w="1530"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rPr>
              <w:t>舞蹈</w:t>
            </w:r>
            <w:r>
              <w:rPr>
                <w:rFonts w:hint="eastAsia" w:ascii="仿宋_GB2312" w:hAnsi="Calibri" w:eastAsia="仿宋_GB2312" w:cs="宋体"/>
                <w:szCs w:val="21"/>
                <w:lang w:eastAsia="zh-CN"/>
              </w:rPr>
              <w:t>演员</w:t>
            </w:r>
          </w:p>
        </w:tc>
      </w:tr>
    </w:tbl>
    <w:p>
      <w:pPr>
        <w:spacing w:line="480" w:lineRule="atLeast"/>
        <w:ind w:firstLine="643" w:firstLineChars="200"/>
        <w:rPr>
          <w:rFonts w:ascii="楷体" w:hAnsi="楷体" w:eastAsia="楷体" w:cs="楷体"/>
          <w:b/>
          <w:bCs/>
          <w:sz w:val="32"/>
          <w:szCs w:val="32"/>
        </w:rPr>
      </w:pPr>
      <w:r>
        <w:rPr>
          <w:rFonts w:hint="eastAsia" w:ascii="楷体" w:hAnsi="楷体" w:eastAsia="楷体" w:cs="楷体"/>
          <w:b/>
          <w:bCs/>
          <w:sz w:val="32"/>
          <w:szCs w:val="32"/>
        </w:rPr>
        <w:t>3.校外实训要求</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认知/感知实践</w:t>
      </w:r>
    </w:p>
    <w:p>
      <w:pPr>
        <w:spacing w:line="480" w:lineRule="atLeast"/>
        <w:ind w:firstLine="560" w:firstLineChars="200"/>
        <w:rPr>
          <w:rFonts w:ascii="仿宋_GB2312"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分阶段安排1天时间到校外实训基地进行参观见习，对行业、企业及工作环境有基本认知。在课程后安排1周时间到校外实训基地参观实践，对课程所涉及知识产生感性认识，</w:t>
      </w:r>
      <w:r>
        <w:rPr>
          <w:rFonts w:hint="eastAsia" w:ascii="仿宋_GB2312" w:eastAsia="仿宋_GB2312"/>
          <w:color w:val="000000" w:themeColor="text1"/>
          <w:sz w:val="28"/>
          <w:szCs w:val="28"/>
          <w14:textFill>
            <w14:solidFill>
              <w14:schemeClr w14:val="tx1"/>
            </w14:solidFill>
          </w14:textFill>
        </w:rPr>
        <w:t>收集相关的实际案例，在课堂中进行分析解决，同时感受企业的工作环境与气氛。</w:t>
      </w:r>
    </w:p>
    <w:p>
      <w:pPr>
        <w:ind w:firstLine="56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（2）校企双方协同育人</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生到校企合作企业学习培训，企业采用“师带徒”形式对学生进行实践性教学，学校教师亲自陪同学生进入企业，参与企业的培训学习和管理，让学生顺利转变角色，把学校所学与企业要求结合起来，最快速度适应企业需求，为顶岗实习打下基础。</w:t>
      </w:r>
    </w:p>
    <w:p>
      <w:pPr>
        <w:ind w:firstLine="56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（3）顶岗实习</w:t>
      </w:r>
    </w:p>
    <w:p>
      <w:pPr>
        <w:ind w:firstLine="560"/>
        <w:rPr>
          <w:rFonts w:ascii="仿宋_GB2312"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生通过课程后在一线上岗工作，全面了解和掌握所学专业知识在实际生产中的应用，锻炼学生综合运用所学的专业知识和基本技能，去独立分析和解决实际问题的能力，把理论和实践结合起来，提高岗位技能，了解自己未来的发展方向，进一步养成良好的职业素养，</w:t>
      </w:r>
      <w:r>
        <w:rPr>
          <w:rFonts w:hint="eastAsia" w:ascii="仿宋_GB2312" w:eastAsia="仿宋_GB2312"/>
          <w:color w:val="000000" w:themeColor="text1"/>
          <w:sz w:val="28"/>
          <w:szCs w:val="28"/>
          <w14:textFill>
            <w14:solidFill>
              <w14:schemeClr w14:val="tx1"/>
            </w14:solidFill>
          </w14:textFill>
        </w:rPr>
        <w:t>为正式就业打下基础。</w:t>
      </w:r>
    </w:p>
    <w:p>
      <w:pPr>
        <w:numPr>
          <w:ilvl w:val="0"/>
          <w:numId w:val="7"/>
        </w:numPr>
        <w:spacing w:line="620" w:lineRule="exact"/>
        <w:ind w:firstLine="643" w:firstLineChars="200"/>
        <w:outlineLvl w:val="1"/>
        <w:rPr>
          <w:rFonts w:ascii="楷体_GB2312" w:eastAsia="楷体_GB2312"/>
          <w:b/>
          <w:sz w:val="32"/>
          <w:szCs w:val="32"/>
        </w:rPr>
      </w:pPr>
      <w:bookmarkStart w:id="50" w:name="_Toc4240"/>
      <w:r>
        <w:rPr>
          <w:rFonts w:hint="eastAsia" w:ascii="楷体_GB2312" w:eastAsia="楷体_GB2312"/>
          <w:b/>
          <w:sz w:val="32"/>
          <w:szCs w:val="32"/>
        </w:rPr>
        <w:t>教学资源</w:t>
      </w:r>
      <w:bookmarkEnd w:id="50"/>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bookmarkStart w:id="51" w:name="_Toc12035"/>
      <w:r>
        <w:rPr>
          <w:rFonts w:hint="eastAsia" w:ascii="仿宋" w:hAnsi="仿宋" w:eastAsia="仿宋" w:cs="仿宋"/>
          <w:color w:val="000000" w:themeColor="text1"/>
          <w:sz w:val="28"/>
          <w:szCs w:val="28"/>
          <w14:textFill>
            <w14:solidFill>
              <w14:schemeClr w14:val="tx1"/>
            </w14:solidFill>
          </w14:textFill>
        </w:rPr>
        <w:t>1.学校现有教学图书23万多册（其中纸质图书17万册，电子图书6万册），有各种期刊杂志、报纸120余种，专业杂志10余种，学校每年都有订购专业图书的相关预算，保障专业图书满足教师和学生的学习需求。</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4.学校现有校园数字化资源平台、微讲师平台、企业微信、问卷星，开展信息化教学，平台资源丰富。</w:t>
      </w:r>
    </w:p>
    <w:p>
      <w:pPr>
        <w:spacing w:line="620" w:lineRule="exact"/>
        <w:ind w:firstLine="643" w:firstLineChars="200"/>
        <w:outlineLvl w:val="1"/>
        <w:rPr>
          <w:rFonts w:ascii="楷体_GB2312" w:eastAsia="楷体_GB2312"/>
          <w:b/>
          <w:sz w:val="32"/>
          <w:szCs w:val="32"/>
        </w:rPr>
      </w:pPr>
      <w:r>
        <w:rPr>
          <w:rFonts w:hint="eastAsia" w:ascii="楷体_GB2312" w:eastAsia="楷体_GB2312"/>
          <w:b/>
          <w:sz w:val="32"/>
          <w:szCs w:val="32"/>
        </w:rPr>
        <w:t>（四）教学方法</w:t>
      </w:r>
      <w:bookmarkEnd w:id="51"/>
    </w:p>
    <w:p>
      <w:pPr>
        <w:pStyle w:val="4"/>
        <w:widowControl/>
        <w:spacing w:before="100" w:after="80" w:line="520" w:lineRule="exact"/>
        <w:ind w:left="840"/>
        <w:jc w:val="left"/>
        <w:rPr>
          <w:rFonts w:ascii="楷体" w:hAnsi="楷体" w:eastAsia="楷体" w:cs="楷体"/>
          <w:bCs/>
          <w:szCs w:val="32"/>
        </w:rPr>
      </w:pPr>
      <w:r>
        <w:rPr>
          <w:rFonts w:hint="eastAsia" w:ascii="楷体" w:hAnsi="楷体" w:eastAsia="楷体" w:cs="楷体"/>
          <w:bCs/>
          <w:szCs w:val="32"/>
        </w:rPr>
        <w:t>1.公共基础课</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师在教学实践中强化课程思政，以行动为导向的教学方法，通过实践活动，加强思政课程教育。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小组协作学习、</w:t>
      </w:r>
      <w:r>
        <w:rPr>
          <w:rFonts w:hint="eastAsia" w:ascii="仿宋" w:hAnsi="仿宋" w:eastAsia="仿宋" w:cs="仿宋"/>
          <w:color w:val="000000" w:themeColor="text1"/>
          <w:sz w:val="28"/>
          <w:szCs w:val="28"/>
          <w14:textFill>
            <w14:solidFill>
              <w14:schemeClr w14:val="tx1"/>
            </w14:solidFill>
          </w14:textFill>
        </w:rPr>
        <w:t>自主学习等多种教学方法，践行“做中学”，教学过程突出“以学生为中心”，从而促进学生职业能力的培养，有效地培养学生解决问题的能力及可持续发展的能力。</w:t>
      </w:r>
    </w:p>
    <w:p>
      <w:pPr>
        <w:pStyle w:val="4"/>
        <w:widowControl/>
        <w:spacing w:before="100" w:after="80" w:line="520" w:lineRule="exact"/>
        <w:ind w:left="840"/>
        <w:jc w:val="left"/>
        <w:rPr>
          <w:rFonts w:ascii="楷体" w:hAnsi="楷体" w:eastAsia="楷体" w:cs="楷体"/>
          <w:bCs/>
          <w:szCs w:val="32"/>
        </w:rPr>
      </w:pPr>
      <w:r>
        <w:rPr>
          <w:rFonts w:hint="eastAsia" w:ascii="楷体" w:hAnsi="楷体" w:eastAsia="楷体" w:cs="楷体"/>
          <w:bCs/>
          <w:szCs w:val="32"/>
        </w:rPr>
        <w:t>2.专业技能课</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文艺作品的行动，来获得音乐与舞蹈相关知识和技能，同时获得职业能力，提高人才的培养质量。</w:t>
      </w:r>
    </w:p>
    <w:p>
      <w:pPr>
        <w:spacing w:line="620" w:lineRule="exact"/>
        <w:ind w:firstLine="643" w:firstLineChars="200"/>
        <w:outlineLvl w:val="1"/>
        <w:rPr>
          <w:rFonts w:ascii="楷体_GB2312" w:eastAsia="楷体_GB2312"/>
          <w:b/>
          <w:sz w:val="32"/>
          <w:szCs w:val="32"/>
        </w:rPr>
      </w:pPr>
      <w:bookmarkStart w:id="52" w:name="_Toc3701"/>
      <w:r>
        <w:rPr>
          <w:rFonts w:hint="eastAsia" w:ascii="楷体_GB2312" w:eastAsia="楷体_GB2312"/>
          <w:b/>
          <w:sz w:val="32"/>
          <w:szCs w:val="32"/>
        </w:rPr>
        <w:t>（五）学习评价</w:t>
      </w:r>
      <w:bookmarkEnd w:id="52"/>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采取过程考核、终期考核与成果评估相结合的方式，注重对学生的任务完成情况、工作态度、团队协作和沟通能力的综合评估，力求体现学生的综合能力。</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评价的方式可以采取同学监督评价与教师评价相结合的方式。对以团队方式完成工作过程的团体，对队员的评价由队长负</w:t>
      </w:r>
      <w:r>
        <w:rPr>
          <w:rFonts w:hint="eastAsia" w:ascii="仿宋" w:hAnsi="仿宋" w:eastAsia="仿宋" w:cs="仿宋"/>
          <w:sz w:val="32"/>
          <w:szCs w:val="32"/>
        </w:rPr>
        <w:t>责</w:t>
      </w:r>
      <w:r>
        <w:rPr>
          <w:rFonts w:hint="eastAsia" w:ascii="仿宋" w:hAnsi="仿宋" w:eastAsia="仿宋" w:cs="仿宋"/>
          <w:color w:val="000000" w:themeColor="text1"/>
          <w:sz w:val="28"/>
          <w:szCs w:val="28"/>
          <w14:textFill>
            <w14:solidFill>
              <w14:schemeClr w14:val="tx1"/>
            </w14:solidFill>
          </w14:textFill>
        </w:rPr>
        <w:t>，对团队总的评价由教师负责，两者结合形成队员的评价结果。</w:t>
      </w:r>
    </w:p>
    <w:p>
      <w:pPr>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所有必修课和选修课及实训课等均在教学过程中或完成教学目标时进行知识和技能考核。考核评分标准如下表：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课程分类</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评分项目</w:t>
            </w:r>
          </w:p>
        </w:tc>
        <w:tc>
          <w:tcPr>
            <w:tcW w:w="1276"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分值比例</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理论课</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平时成绩</w:t>
            </w:r>
          </w:p>
        </w:tc>
        <w:tc>
          <w:tcPr>
            <w:tcW w:w="1276" w:type="dxa"/>
            <w:vAlign w:val="center"/>
          </w:tcPr>
          <w:p>
            <w:pPr>
              <w:jc w:val="center"/>
              <w:rPr>
                <w:rFonts w:ascii="楷体" w:hAnsi="楷体" w:eastAsia="楷体" w:cs="楷体"/>
                <w:color w:val="000000" w:themeColor="text1"/>
                <w:sz w:val="24"/>
                <w14:textFill>
                  <w14:solidFill>
                    <w14:schemeClr w14:val="tx1"/>
                  </w14:solidFill>
                </w14:textFill>
              </w:rPr>
            </w:pPr>
            <w:r>
              <w:rPr>
                <w:rFonts w:hint="eastAsia" w:ascii="仿宋" w:hAnsi="仿宋" w:eastAsia="仿宋" w:cs="仿宋"/>
                <w:bCs/>
                <w:sz w:val="24"/>
              </w:rPr>
              <w:t xml:space="preserve">   3</w:t>
            </w:r>
            <w:r>
              <w:rPr>
                <w:rFonts w:ascii="仿宋" w:hAnsi="仿宋" w:eastAsia="仿宋" w:cs="仿宋"/>
                <w:bCs/>
                <w:sz w:val="24"/>
              </w:rPr>
              <w:t>0</w:t>
            </w:r>
            <w:r>
              <w:rPr>
                <w:rFonts w:hint="eastAsia" w:ascii="仿宋" w:hAnsi="仿宋" w:eastAsia="仿宋" w:cs="仿宋"/>
                <w:bCs/>
                <w:sz w:val="24"/>
              </w:rPr>
              <w:t>%</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半期成绩</w:t>
            </w:r>
          </w:p>
        </w:tc>
        <w:tc>
          <w:tcPr>
            <w:tcW w:w="1276" w:type="dxa"/>
            <w:vAlign w:val="center"/>
          </w:tcPr>
          <w:p>
            <w:pPr>
              <w:jc w:val="center"/>
              <w:rPr>
                <w:rFonts w:ascii="楷体" w:hAnsi="楷体" w:eastAsia="楷体" w:cs="楷体"/>
                <w:color w:val="000000" w:themeColor="text1"/>
                <w:sz w:val="24"/>
                <w14:textFill>
                  <w14:solidFill>
                    <w14:schemeClr w14:val="tx1"/>
                  </w14:solidFill>
                </w14:textFill>
              </w:rPr>
            </w:pPr>
            <w:r>
              <w:rPr>
                <w:rFonts w:hint="eastAsia" w:ascii="仿宋" w:hAnsi="仿宋" w:eastAsia="仿宋" w:cs="仿宋"/>
                <w:bCs/>
                <w:sz w:val="24"/>
              </w:rPr>
              <w:t xml:space="preserve">   </w:t>
            </w:r>
            <w:r>
              <w:rPr>
                <w:rFonts w:ascii="仿宋" w:hAnsi="仿宋" w:eastAsia="仿宋" w:cs="仿宋"/>
                <w:bCs/>
                <w:sz w:val="24"/>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期末成绩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理实一体</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平时成绩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理论成绩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实操成绩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学生的实训项目学习最终完成的结果，根据实训提交的作品齐全与规范程度、完成性是否达标与质量好坏、等给出终结性考核成绩。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实训课</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职业素养考核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技能考核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60%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采用完成工作任务，并进行专业考核的方式进行或人社部相关资格证书考试的成绩替代。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顶岗实习</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学生自评</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企业考核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实习报告</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实习带队教师考评</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由带队老师根据学生在企业的工作态度、遵守纪律和掌握的专业技能进行综合评定。</w:t>
            </w:r>
          </w:p>
        </w:tc>
      </w:tr>
    </w:tbl>
    <w:p>
      <w:pPr>
        <w:spacing w:line="620" w:lineRule="exact"/>
        <w:ind w:firstLine="480" w:firstLineChars="200"/>
        <w:rPr>
          <w:rFonts w:ascii="仿宋_GB2312" w:eastAsia="仿宋_GB2312"/>
          <w:color w:val="FF0000"/>
          <w:sz w:val="24"/>
        </w:rPr>
      </w:pPr>
    </w:p>
    <w:p>
      <w:pPr>
        <w:spacing w:line="620" w:lineRule="exact"/>
        <w:ind w:firstLine="643" w:firstLineChars="200"/>
        <w:outlineLvl w:val="1"/>
        <w:rPr>
          <w:rFonts w:ascii="楷体_GB2312" w:eastAsia="楷体_GB2312"/>
          <w:b/>
          <w:sz w:val="32"/>
          <w:szCs w:val="32"/>
        </w:rPr>
      </w:pPr>
      <w:bookmarkStart w:id="53" w:name="_Toc15711"/>
      <w:r>
        <w:rPr>
          <w:rFonts w:hint="eastAsia" w:ascii="楷体_GB2312" w:eastAsia="楷体_GB2312"/>
          <w:b/>
          <w:sz w:val="32"/>
          <w:szCs w:val="32"/>
        </w:rPr>
        <w:t>（六）质量管理</w:t>
      </w:r>
      <w:bookmarkEnd w:id="53"/>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教学管理工作是在主管副校长领导下，实行学校、专业科两级负责，学校是教学管理的主体力量，主要通过以下形式进行：</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1.建立教学管理组织协调系统，专业科配合教务处对日常课堂教学及教学建设工作进行管理和监控，及时解决教学中出现的问题；</w:t>
      </w:r>
    </w:p>
    <w:p>
      <w:p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2.学校、专业科两级督学系统，组织有丰富教学和教学管理经验的教师及专业科教学管理人员组成两级督学小组，实现督教、督学、督管；</w:t>
      </w:r>
    </w:p>
    <w:p>
      <w:p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54" w:name="_Toc593"/>
      <w:r>
        <w:rPr>
          <w:rFonts w:hint="eastAsia" w:ascii="黑体" w:hAnsi="黑体" w:eastAsia="黑体" w:cs="黑体"/>
          <w:b/>
          <w:bCs/>
          <w:color w:val="000000" w:themeColor="text1"/>
          <w:sz w:val="32"/>
          <w:szCs w:val="32"/>
          <w14:textFill>
            <w14:solidFill>
              <w14:schemeClr w14:val="tx1"/>
            </w14:solidFill>
          </w14:textFill>
        </w:rPr>
        <w:t>九、毕业要求</w:t>
      </w:r>
      <w:bookmarkEnd w:id="54"/>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毕业民族音乐与舞蹈专业学生通过三年的学习，须修满专业人才培养方案所规定的学时学分，完成规定的教学活动，毕业时应达到的素质、知识和能力等方面要求。具体要求如下：</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bookmarkStart w:id="55" w:name="_Toc21016"/>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通过规定年限的学习，修满专业人才培养方案中规定的全部课程，各科成绩必须达到60分以上或者及格以上成绩。 </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完成顶岗实习，撰写实习报告，顶岗实习考核取得合格以上成绩。</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获得</w:t>
      </w:r>
      <w:r>
        <w:rPr>
          <w:rFonts w:hint="eastAsia" w:ascii="仿宋" w:hAnsi="仿宋" w:eastAsia="仿宋" w:cs="仿宋"/>
          <w:color w:val="000000" w:themeColor="text1"/>
          <w:sz w:val="28"/>
          <w:szCs w:val="28"/>
          <w:lang w:val="en-US" w:eastAsia="zh-CN"/>
          <w14:textFill>
            <w14:solidFill>
              <w14:schemeClr w14:val="tx1"/>
            </w14:solidFill>
          </w14:textFill>
        </w:rPr>
        <w:t>184</w:t>
      </w:r>
      <w:r>
        <w:rPr>
          <w:rFonts w:hint="eastAsia" w:ascii="仿宋" w:hAnsi="仿宋" w:eastAsia="仿宋" w:cs="仿宋"/>
          <w:color w:val="000000" w:themeColor="text1"/>
          <w:sz w:val="28"/>
          <w:szCs w:val="28"/>
          <w14:textFill>
            <w14:solidFill>
              <w14:schemeClr w14:val="tx1"/>
            </w14:solidFill>
          </w14:textFill>
        </w:rPr>
        <w:t>学分及以上。</w:t>
      </w:r>
    </w:p>
    <w:p>
      <w:pPr>
        <w:spacing w:line="480" w:lineRule="atLeast"/>
        <w:ind w:firstLine="643" w:firstLineChars="200"/>
        <w:outlineLvl w:val="0"/>
        <w:rPr>
          <w:rFonts w:ascii="黑体" w:eastAsia="黑体"/>
          <w:sz w:val="32"/>
          <w:szCs w:val="32"/>
        </w:rPr>
      </w:pPr>
      <w:r>
        <w:rPr>
          <w:rFonts w:hint="eastAsia" w:ascii="黑体" w:hAnsi="黑体" w:eastAsia="黑体" w:cs="黑体"/>
          <w:b/>
          <w:bCs/>
          <w:color w:val="000000" w:themeColor="text1"/>
          <w:sz w:val="32"/>
          <w:szCs w:val="32"/>
          <w14:textFill>
            <w14:solidFill>
              <w14:schemeClr w14:val="tx1"/>
            </w14:solidFill>
          </w14:textFill>
        </w:rPr>
        <w:t>十、附录</w:t>
      </w:r>
      <w:bookmarkEnd w:id="46"/>
      <w:bookmarkEnd w:id="47"/>
      <w:bookmarkEnd w:id="48"/>
      <w:bookmarkEnd w:id="49"/>
      <w:bookmarkEnd w:id="55"/>
    </w:p>
    <w:p>
      <w:pPr>
        <w:spacing w:line="520" w:lineRule="exact"/>
        <w:ind w:left="210" w:leftChars="100" w:firstLine="321" w:firstLineChars="100"/>
        <w:outlineLvl w:val="1"/>
        <w:rPr>
          <w:rFonts w:ascii="楷体" w:hAnsi="楷体" w:eastAsia="楷体" w:cs="楷体"/>
          <w:b/>
          <w:bCs/>
          <w:sz w:val="32"/>
          <w:szCs w:val="32"/>
        </w:rPr>
      </w:pPr>
      <w:bookmarkStart w:id="56" w:name="_Toc3207"/>
      <w:bookmarkStart w:id="57" w:name="_Toc35954057"/>
      <w:bookmarkStart w:id="58" w:name="_Toc32455"/>
      <w:bookmarkStart w:id="59" w:name="_Toc3036"/>
      <w:bookmarkStart w:id="60" w:name="_Toc24565"/>
      <w:r>
        <w:rPr>
          <w:rFonts w:hint="eastAsia" w:ascii="楷体" w:hAnsi="楷体" w:eastAsia="楷体" w:cs="楷体"/>
          <w:b/>
          <w:bCs/>
          <w:sz w:val="32"/>
          <w:szCs w:val="32"/>
        </w:rPr>
        <w:t>（一）编制依据</w:t>
      </w:r>
      <w:bookmarkEnd w:id="56"/>
      <w:bookmarkEnd w:id="57"/>
      <w:bookmarkEnd w:id="58"/>
      <w:bookmarkEnd w:id="59"/>
      <w:bookmarkEnd w:id="60"/>
      <w:r>
        <w:rPr>
          <w:rFonts w:hint="eastAsia" w:ascii="楷体" w:hAnsi="楷体" w:eastAsia="楷体" w:cs="楷体"/>
          <w:b/>
          <w:bCs/>
          <w:sz w:val="32"/>
          <w:szCs w:val="32"/>
        </w:rPr>
        <w:t xml:space="preserve">     </w:t>
      </w:r>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bookmarkStart w:id="61" w:name="_Toc172"/>
      <w:bookmarkStart w:id="62" w:name="_Toc20988"/>
      <w:bookmarkStart w:id="63" w:name="_Toc19375"/>
      <w:r>
        <w:rPr>
          <w:rFonts w:hint="eastAsia" w:ascii="仿宋" w:hAnsi="仿宋" w:eastAsia="仿宋" w:cs="仿宋"/>
          <w:color w:val="000000" w:themeColor="text1"/>
          <w:sz w:val="28"/>
          <w:szCs w:val="28"/>
          <w14:textFill>
            <w14:solidFill>
              <w14:schemeClr w14:val="tx1"/>
            </w14:solidFill>
          </w14:textFill>
        </w:rPr>
        <w:t xml:space="preserve">根据教育部《中等职业学校民族音乐与舞蹈专业教学标准》（试行）、《教育部关于职业院校专业人才培养方案制订与实施工作的指导意见》（教职成〔2019〕13号）、教育部办公厅关于印发《中等职业学校公共基础课程方案》的通知(教职成厅[2019] 6号)、《教育部关于职业院校专业人才培养方案制订与实施工作的指导意见》(教职成[2019] 13号)、《关于组织做好职业院校专业人才培养方案制订与实施工作的通知》( 教职成司函[2019] 61号)、省教育厅办公室关于组织做好职业院校专业人才培养方案制定与实施工作的通知黔教办职成函 [2019] 307号等相关文件精神，并结合学校实际情况制订出如下美术设计与制作专业人才培养方案。   </w:t>
      </w:r>
    </w:p>
    <w:bookmarkEnd w:id="61"/>
    <w:bookmarkEnd w:id="62"/>
    <w:bookmarkEnd w:id="63"/>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bookmarkStart w:id="64" w:name="_Toc5233"/>
      <w:bookmarkStart w:id="65" w:name="_Toc35954058"/>
      <w:r>
        <w:rPr>
          <w:rFonts w:hint="eastAsia" w:ascii="仿宋" w:hAnsi="仿宋" w:eastAsia="仿宋" w:cs="仿宋"/>
          <w:color w:val="000000" w:themeColor="text1"/>
          <w:sz w:val="28"/>
          <w:szCs w:val="28"/>
          <w14:textFill>
            <w14:solidFill>
              <w14:schemeClr w14:val="tx1"/>
            </w14:solidFill>
          </w14:textFill>
        </w:rPr>
        <w:t>（二）方案特点</w:t>
      </w:r>
      <w:bookmarkEnd w:id="64"/>
      <w:bookmarkEnd w:id="65"/>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1.在素质教育方面：突出素质教育，培养目标明确，使学生在德、智、体、美各方面全面发展，成为高素质技能型现代服务技术型人才。</w:t>
      </w:r>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2.能力培养方面：以能力培养为目标根据课程设计方法，以岗位工作任务分析为参照点，将每门课程设计分为若干组，以工作任务为中心将理论与实践教学融为一体，重点培养学生的职业素质的职业技能。</w:t>
      </w:r>
    </w:p>
    <w:p>
      <w:pPr>
        <w:spacing w:line="520" w:lineRule="exact"/>
        <w:ind w:firstLine="560" w:firstLineChars="200"/>
        <w:rPr>
          <w:rFonts w:ascii="仿宋" w:hAnsi="仿宋" w:eastAsia="仿宋" w:cs="仿宋"/>
          <w:sz w:val="32"/>
          <w:szCs w:val="32"/>
        </w:rPr>
      </w:pPr>
      <w:r>
        <w:rPr>
          <w:rFonts w:hint="eastAsia" w:ascii="仿宋" w:hAnsi="仿宋" w:eastAsia="仿宋" w:cs="仿宋"/>
          <w:color w:val="000000" w:themeColor="text1"/>
          <w:sz w:val="28"/>
          <w:szCs w:val="28"/>
          <w14:textFill>
            <w14:solidFill>
              <w14:schemeClr w14:val="tx1"/>
            </w14:solidFill>
          </w14:textFill>
        </w:rPr>
        <w:t>3.课程内容方面：按照实际的教学任务，对内容相互关联的、具有综合条件的课程进行适当整合，改变专业教育中每个领域所需知识和能力分散在各门专业课程中来完成的现状。</w:t>
      </w:r>
    </w:p>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520" w:lineRule="exact"/>
        <w:rPr>
          <w:rFonts w:hint="eastAsia" w:ascii="仿宋" w:hAnsi="仿宋" w:eastAsia="仿宋" w:cs="仿宋"/>
          <w:sz w:val="32"/>
          <w:szCs w:val="32"/>
        </w:rPr>
      </w:pPr>
    </w:p>
    <w:p>
      <w:pPr>
        <w:spacing w:line="520" w:lineRule="exact"/>
        <w:ind w:firstLine="4160" w:firstLineChars="1300"/>
        <w:rPr>
          <w:rFonts w:hint="eastAsia" w:ascii="仿宋" w:hAnsi="仿宋" w:eastAsia="仿宋" w:cs="仿宋"/>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autoSpaceDE w:val="0"/>
        <w:autoSpaceDN w:val="0"/>
        <w:spacing w:before="100" w:line="480" w:lineRule="atLeast"/>
        <w:rPr>
          <w:rFonts w:ascii="宋体" w:hAnsi="宋体" w:eastAsia="宋体" w:cs="宋体"/>
          <w:color w:val="000000" w:themeColor="text1"/>
          <w:sz w:val="28"/>
          <w:szCs w:val="28"/>
          <w14:textFill>
            <w14:solidFill>
              <w14:schemeClr w14:val="tx1"/>
            </w14:solidFill>
          </w14:textFill>
        </w:rPr>
      </w:pPr>
    </w:p>
    <w:sectPr>
      <w:footerReference r:id="rId6" w:type="default"/>
      <w:pgSz w:w="11906" w:h="16838"/>
      <w:pgMar w:top="1440" w:right="1440" w:bottom="1440" w:left="1440" w:header="851" w:footer="992" w:gutter="0"/>
      <w:pgNumType w:start="16"/>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黑体-简">
    <w:altName w:val="黑体"/>
    <w:panose1 w:val="00000000000000000000"/>
    <w:charset w:val="86"/>
    <w:family w:val="auto"/>
    <w:pitch w:val="default"/>
    <w:sig w:usb0="00000000" w:usb1="00000000" w:usb2="00000000" w:usb3="00000000" w:csb0="203E0000" w:csb1="0000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FZLTSK--GBK1-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dobe 仿宋 Std R">
    <w:altName w:val="仿宋"/>
    <w:panose1 w:val="00000000000000000000"/>
    <w:charset w:val="86"/>
    <w:family w:val="roman"/>
    <w:pitch w:val="default"/>
    <w:sig w:usb0="00000000" w:usb1="00000000" w:usb2="00000016" w:usb3="00000000" w:csb0="00060007"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y8pmg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DsvKZoKwIAAFcEAAAOAAAAAAAAAAEAIAAAAB8BAABkcnMvZTJvRG9jLnhtbFBLBQYAAAAABgAG&#10;AFkBAAC8BQ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5A071E"/>
    <w:multiLevelType w:val="singleLevel"/>
    <w:tmpl w:val="BA5A071E"/>
    <w:lvl w:ilvl="0" w:tentative="0">
      <w:start w:val="4"/>
      <w:numFmt w:val="chineseCounting"/>
      <w:suff w:val="nothing"/>
      <w:lvlText w:val="（%1）"/>
      <w:lvlJc w:val="left"/>
      <w:rPr>
        <w:rFonts w:hint="eastAsia"/>
      </w:rPr>
    </w:lvl>
  </w:abstractNum>
  <w:abstractNum w:abstractNumId="1">
    <w:nsid w:val="E4F345C6"/>
    <w:multiLevelType w:val="singleLevel"/>
    <w:tmpl w:val="E4F345C6"/>
    <w:lvl w:ilvl="0" w:tentative="0">
      <w:start w:val="2"/>
      <w:numFmt w:val="decimal"/>
      <w:suff w:val="nothing"/>
      <w:lvlText w:val="%1、"/>
      <w:lvlJc w:val="left"/>
    </w:lvl>
  </w:abstractNum>
  <w:abstractNum w:abstractNumId="2">
    <w:nsid w:val="05BB13A1"/>
    <w:multiLevelType w:val="singleLevel"/>
    <w:tmpl w:val="05BB13A1"/>
    <w:lvl w:ilvl="0" w:tentative="0">
      <w:start w:val="3"/>
      <w:numFmt w:val="chineseCounting"/>
      <w:suff w:val="nothing"/>
      <w:lvlText w:val="（%1）"/>
      <w:lvlJc w:val="left"/>
      <w:rPr>
        <w:rFonts w:hint="eastAsia"/>
      </w:rPr>
    </w:lvl>
  </w:abstractNum>
  <w:abstractNum w:abstractNumId="3">
    <w:nsid w:val="3B6990AB"/>
    <w:multiLevelType w:val="singleLevel"/>
    <w:tmpl w:val="3B6990AB"/>
    <w:lvl w:ilvl="0" w:tentative="0">
      <w:start w:val="4"/>
      <w:numFmt w:val="chineseCounting"/>
      <w:suff w:val="nothing"/>
      <w:lvlText w:val="%1、"/>
      <w:lvlJc w:val="left"/>
      <w:rPr>
        <w:rFonts w:hint="eastAsia"/>
      </w:rPr>
    </w:lvl>
  </w:abstractNum>
  <w:abstractNum w:abstractNumId="4">
    <w:nsid w:val="447230BD"/>
    <w:multiLevelType w:val="singleLevel"/>
    <w:tmpl w:val="447230BD"/>
    <w:lvl w:ilvl="0" w:tentative="0">
      <w:start w:val="1"/>
      <w:numFmt w:val="decimal"/>
      <w:suff w:val="space"/>
      <w:lvlText w:val="%1."/>
      <w:lvlJc w:val="left"/>
    </w:lvl>
  </w:abstractNum>
  <w:abstractNum w:abstractNumId="5">
    <w:nsid w:val="46074C8C"/>
    <w:multiLevelType w:val="multilevel"/>
    <w:tmpl w:val="46074C8C"/>
    <w:lvl w:ilvl="0" w:tentative="0">
      <w:start w:val="1"/>
      <w:numFmt w:val="japaneseCounting"/>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8DF5646"/>
    <w:multiLevelType w:val="multilevel"/>
    <w:tmpl w:val="48DF5646"/>
    <w:lvl w:ilvl="0" w:tentative="0">
      <w:start w:val="7"/>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7E3"/>
    <w:rsid w:val="00026503"/>
    <w:rsid w:val="0006337A"/>
    <w:rsid w:val="000771D7"/>
    <w:rsid w:val="000828D4"/>
    <w:rsid w:val="00096334"/>
    <w:rsid w:val="000970AA"/>
    <w:rsid w:val="000E57AC"/>
    <w:rsid w:val="00103682"/>
    <w:rsid w:val="001259F1"/>
    <w:rsid w:val="00172A27"/>
    <w:rsid w:val="001D1360"/>
    <w:rsid w:val="001D36CA"/>
    <w:rsid w:val="002927C9"/>
    <w:rsid w:val="002C2267"/>
    <w:rsid w:val="002E3510"/>
    <w:rsid w:val="002E3533"/>
    <w:rsid w:val="002F4034"/>
    <w:rsid w:val="00344963"/>
    <w:rsid w:val="00350D54"/>
    <w:rsid w:val="00392EDE"/>
    <w:rsid w:val="003C4453"/>
    <w:rsid w:val="004225FD"/>
    <w:rsid w:val="00435E7C"/>
    <w:rsid w:val="004439C6"/>
    <w:rsid w:val="004943F8"/>
    <w:rsid w:val="004A2B45"/>
    <w:rsid w:val="004D0CBC"/>
    <w:rsid w:val="0053289A"/>
    <w:rsid w:val="00543950"/>
    <w:rsid w:val="00560467"/>
    <w:rsid w:val="005975D7"/>
    <w:rsid w:val="005E12E9"/>
    <w:rsid w:val="00612931"/>
    <w:rsid w:val="006912B8"/>
    <w:rsid w:val="006B74D1"/>
    <w:rsid w:val="006D15BD"/>
    <w:rsid w:val="006F3B24"/>
    <w:rsid w:val="00706996"/>
    <w:rsid w:val="00761291"/>
    <w:rsid w:val="00772837"/>
    <w:rsid w:val="00787D63"/>
    <w:rsid w:val="007E04F2"/>
    <w:rsid w:val="00811FF2"/>
    <w:rsid w:val="008D03F3"/>
    <w:rsid w:val="008D2962"/>
    <w:rsid w:val="008F4E43"/>
    <w:rsid w:val="00930F87"/>
    <w:rsid w:val="00942683"/>
    <w:rsid w:val="009614AF"/>
    <w:rsid w:val="00980BF5"/>
    <w:rsid w:val="0098161E"/>
    <w:rsid w:val="009A2470"/>
    <w:rsid w:val="009B5C79"/>
    <w:rsid w:val="00A0307A"/>
    <w:rsid w:val="00A106E9"/>
    <w:rsid w:val="00A24030"/>
    <w:rsid w:val="00AE79C8"/>
    <w:rsid w:val="00B0262D"/>
    <w:rsid w:val="00B565C5"/>
    <w:rsid w:val="00BB7CEF"/>
    <w:rsid w:val="00BC6540"/>
    <w:rsid w:val="00C81BC6"/>
    <w:rsid w:val="00CA7958"/>
    <w:rsid w:val="00D05077"/>
    <w:rsid w:val="00D51350"/>
    <w:rsid w:val="00D52725"/>
    <w:rsid w:val="00DA5932"/>
    <w:rsid w:val="00DB480F"/>
    <w:rsid w:val="00DC1019"/>
    <w:rsid w:val="00DC559C"/>
    <w:rsid w:val="00E7215A"/>
    <w:rsid w:val="00F40DC7"/>
    <w:rsid w:val="00F41698"/>
    <w:rsid w:val="00F51FDF"/>
    <w:rsid w:val="00F73C61"/>
    <w:rsid w:val="00F74381"/>
    <w:rsid w:val="00F91806"/>
    <w:rsid w:val="00FA2009"/>
    <w:rsid w:val="00FE5068"/>
    <w:rsid w:val="00FF6379"/>
    <w:rsid w:val="01972DD2"/>
    <w:rsid w:val="01CE5ABB"/>
    <w:rsid w:val="02AF7331"/>
    <w:rsid w:val="032159D8"/>
    <w:rsid w:val="04221956"/>
    <w:rsid w:val="05F6503A"/>
    <w:rsid w:val="06EF1160"/>
    <w:rsid w:val="075E4C82"/>
    <w:rsid w:val="07CF1DFF"/>
    <w:rsid w:val="0A280869"/>
    <w:rsid w:val="0A480100"/>
    <w:rsid w:val="0B5E4304"/>
    <w:rsid w:val="0B931ABE"/>
    <w:rsid w:val="0D3A2949"/>
    <w:rsid w:val="0D9C711E"/>
    <w:rsid w:val="0ECA0396"/>
    <w:rsid w:val="0F8E0497"/>
    <w:rsid w:val="0FAE4E8D"/>
    <w:rsid w:val="10507185"/>
    <w:rsid w:val="108F1ADA"/>
    <w:rsid w:val="11077157"/>
    <w:rsid w:val="11A31BBD"/>
    <w:rsid w:val="121330A2"/>
    <w:rsid w:val="13E04162"/>
    <w:rsid w:val="14D539FA"/>
    <w:rsid w:val="14D91752"/>
    <w:rsid w:val="154146F6"/>
    <w:rsid w:val="1655747D"/>
    <w:rsid w:val="191E5F97"/>
    <w:rsid w:val="19E32309"/>
    <w:rsid w:val="1A2241A7"/>
    <w:rsid w:val="1BEA0F0B"/>
    <w:rsid w:val="1C315393"/>
    <w:rsid w:val="1DAF1125"/>
    <w:rsid w:val="1DDF5780"/>
    <w:rsid w:val="1DE87F57"/>
    <w:rsid w:val="1E51392C"/>
    <w:rsid w:val="217E68DC"/>
    <w:rsid w:val="221930DC"/>
    <w:rsid w:val="23537928"/>
    <w:rsid w:val="242E1649"/>
    <w:rsid w:val="24465C12"/>
    <w:rsid w:val="249313DB"/>
    <w:rsid w:val="24BB0A6A"/>
    <w:rsid w:val="254701F5"/>
    <w:rsid w:val="25E86575"/>
    <w:rsid w:val="27C55446"/>
    <w:rsid w:val="27D04315"/>
    <w:rsid w:val="2A0F1BBD"/>
    <w:rsid w:val="2A376B31"/>
    <w:rsid w:val="2AEE1FD2"/>
    <w:rsid w:val="2B0F2AE2"/>
    <w:rsid w:val="2B1337D3"/>
    <w:rsid w:val="2B4662AB"/>
    <w:rsid w:val="2BF90051"/>
    <w:rsid w:val="2BFB1D62"/>
    <w:rsid w:val="2C1C3724"/>
    <w:rsid w:val="2C2902BB"/>
    <w:rsid w:val="2C85580A"/>
    <w:rsid w:val="2CDC3095"/>
    <w:rsid w:val="2D0E6985"/>
    <w:rsid w:val="2F2B35B1"/>
    <w:rsid w:val="2F6E7D13"/>
    <w:rsid w:val="30EA1E57"/>
    <w:rsid w:val="31861139"/>
    <w:rsid w:val="31900F55"/>
    <w:rsid w:val="31907C4F"/>
    <w:rsid w:val="31FE49BE"/>
    <w:rsid w:val="32F4451E"/>
    <w:rsid w:val="33B91AC0"/>
    <w:rsid w:val="341C240A"/>
    <w:rsid w:val="34227E29"/>
    <w:rsid w:val="346C3D44"/>
    <w:rsid w:val="34C72C43"/>
    <w:rsid w:val="34C90BF4"/>
    <w:rsid w:val="36551186"/>
    <w:rsid w:val="37617CA6"/>
    <w:rsid w:val="3982514D"/>
    <w:rsid w:val="3B1F526F"/>
    <w:rsid w:val="3B8A028B"/>
    <w:rsid w:val="3C5C6564"/>
    <w:rsid w:val="3C8507F9"/>
    <w:rsid w:val="3C86657F"/>
    <w:rsid w:val="3D5B0AA8"/>
    <w:rsid w:val="3E5176CD"/>
    <w:rsid w:val="3EBB52A5"/>
    <w:rsid w:val="3F3F30AB"/>
    <w:rsid w:val="3F603EF3"/>
    <w:rsid w:val="3F691F8D"/>
    <w:rsid w:val="410A2C0E"/>
    <w:rsid w:val="411A242E"/>
    <w:rsid w:val="417E3ED8"/>
    <w:rsid w:val="41C961E9"/>
    <w:rsid w:val="43096A85"/>
    <w:rsid w:val="433A4DE6"/>
    <w:rsid w:val="43574583"/>
    <w:rsid w:val="438E1F98"/>
    <w:rsid w:val="43955961"/>
    <w:rsid w:val="4462071B"/>
    <w:rsid w:val="44FE6345"/>
    <w:rsid w:val="45E82DA9"/>
    <w:rsid w:val="46592537"/>
    <w:rsid w:val="46FA428D"/>
    <w:rsid w:val="475A0451"/>
    <w:rsid w:val="48547F41"/>
    <w:rsid w:val="49194E78"/>
    <w:rsid w:val="497D1D27"/>
    <w:rsid w:val="4A602EF4"/>
    <w:rsid w:val="4AC46DB0"/>
    <w:rsid w:val="4ADC7871"/>
    <w:rsid w:val="4B576A9E"/>
    <w:rsid w:val="4BD33BD4"/>
    <w:rsid w:val="4C122A3F"/>
    <w:rsid w:val="4C264FB9"/>
    <w:rsid w:val="4CBB5DB5"/>
    <w:rsid w:val="4D2813E5"/>
    <w:rsid w:val="4D7322DE"/>
    <w:rsid w:val="4DF9390F"/>
    <w:rsid w:val="50ED4C6A"/>
    <w:rsid w:val="51B23C76"/>
    <w:rsid w:val="522146AD"/>
    <w:rsid w:val="559556A0"/>
    <w:rsid w:val="568D6950"/>
    <w:rsid w:val="573A5116"/>
    <w:rsid w:val="57B12A65"/>
    <w:rsid w:val="58473D05"/>
    <w:rsid w:val="5A3C017B"/>
    <w:rsid w:val="5A510816"/>
    <w:rsid w:val="5B040356"/>
    <w:rsid w:val="5B9101C5"/>
    <w:rsid w:val="5BA025BA"/>
    <w:rsid w:val="5BF764F5"/>
    <w:rsid w:val="5C420CD8"/>
    <w:rsid w:val="5C7C3866"/>
    <w:rsid w:val="5DA57A09"/>
    <w:rsid w:val="5DC41A05"/>
    <w:rsid w:val="5E037D45"/>
    <w:rsid w:val="5E925EF9"/>
    <w:rsid w:val="5F526993"/>
    <w:rsid w:val="5F7A3834"/>
    <w:rsid w:val="60886936"/>
    <w:rsid w:val="61474228"/>
    <w:rsid w:val="61727F32"/>
    <w:rsid w:val="63FA6853"/>
    <w:rsid w:val="63FF3E69"/>
    <w:rsid w:val="656F241A"/>
    <w:rsid w:val="65E977A6"/>
    <w:rsid w:val="663A2291"/>
    <w:rsid w:val="677E3301"/>
    <w:rsid w:val="67831D9E"/>
    <w:rsid w:val="681E3591"/>
    <w:rsid w:val="68DA401B"/>
    <w:rsid w:val="68F0408C"/>
    <w:rsid w:val="698255A9"/>
    <w:rsid w:val="6A17210D"/>
    <w:rsid w:val="6A304DA5"/>
    <w:rsid w:val="6B162E4B"/>
    <w:rsid w:val="6BFA3191"/>
    <w:rsid w:val="6C7F1238"/>
    <w:rsid w:val="6D535020"/>
    <w:rsid w:val="6D7C591A"/>
    <w:rsid w:val="6E13374C"/>
    <w:rsid w:val="6E47692F"/>
    <w:rsid w:val="6EF976A3"/>
    <w:rsid w:val="6F2A54B4"/>
    <w:rsid w:val="6FE4098B"/>
    <w:rsid w:val="70397291"/>
    <w:rsid w:val="70ED570C"/>
    <w:rsid w:val="71207785"/>
    <w:rsid w:val="717809E1"/>
    <w:rsid w:val="717E013F"/>
    <w:rsid w:val="71B5140E"/>
    <w:rsid w:val="7220504C"/>
    <w:rsid w:val="72E11042"/>
    <w:rsid w:val="733C3866"/>
    <w:rsid w:val="759C4219"/>
    <w:rsid w:val="76294B41"/>
    <w:rsid w:val="77455F6C"/>
    <w:rsid w:val="783F0C8E"/>
    <w:rsid w:val="784670B2"/>
    <w:rsid w:val="789600D7"/>
    <w:rsid w:val="789846F8"/>
    <w:rsid w:val="78984D45"/>
    <w:rsid w:val="78D616C5"/>
    <w:rsid w:val="79556F9C"/>
    <w:rsid w:val="79695979"/>
    <w:rsid w:val="7AEE64C2"/>
    <w:rsid w:val="7BEB24C8"/>
    <w:rsid w:val="7C187FA8"/>
    <w:rsid w:val="7C35418C"/>
    <w:rsid w:val="7C9E6128"/>
    <w:rsid w:val="7CDB6F1C"/>
    <w:rsid w:val="7D5D4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spacing w:before="340" w:after="330" w:line="576" w:lineRule="auto"/>
      <w:outlineLvl w:val="0"/>
    </w:pPr>
    <w:rPr>
      <w:b/>
      <w:kern w:val="44"/>
      <w:sz w:val="44"/>
    </w:rPr>
  </w:style>
  <w:style w:type="paragraph" w:styleId="3">
    <w:name w:val="heading 2"/>
    <w:basedOn w:val="1"/>
    <w:next w:val="1"/>
    <w:link w:val="2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2"/>
    <w:unhideWhenUsed/>
    <w:qFormat/>
    <w:uiPriority w:val="0"/>
    <w:pPr>
      <w:keepNext/>
      <w:keepLines/>
      <w:spacing w:before="260" w:after="260" w:line="413" w:lineRule="auto"/>
      <w:outlineLvl w:val="2"/>
    </w:pPr>
    <w:rPr>
      <w:b/>
      <w:sz w:val="32"/>
    </w:rPr>
  </w:style>
  <w:style w:type="paragraph" w:styleId="5">
    <w:name w:val="heading 4"/>
    <w:basedOn w:val="1"/>
    <w:next w:val="1"/>
    <w:qFormat/>
    <w:uiPriority w:val="0"/>
    <w:pPr>
      <w:keepNext/>
      <w:keepLines/>
      <w:spacing w:before="100" w:after="80" w:line="480" w:lineRule="exact"/>
      <w:jc w:val="left"/>
      <w:outlineLvl w:val="3"/>
    </w:pPr>
    <w:rPr>
      <w:rFonts w:ascii="Arial" w:hAnsi="Arial" w:eastAsia="宋体" w:cs="Times New Roman"/>
      <w:sz w:val="3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Date"/>
    <w:basedOn w:val="1"/>
    <w:next w:val="1"/>
    <w:link w:val="23"/>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qFormat/>
    <w:uiPriority w:val="99"/>
    <w:rPr>
      <w:color w:val="2C2C2C"/>
      <w:u w:val="none"/>
    </w:rPr>
  </w:style>
  <w:style w:type="character" w:styleId="19">
    <w:name w:val="annotation reference"/>
    <w:basedOn w:val="17"/>
    <w:qFormat/>
    <w:uiPriority w:val="0"/>
    <w:rPr>
      <w:sz w:val="21"/>
      <w:szCs w:val="21"/>
    </w:rPr>
  </w:style>
  <w:style w:type="character" w:customStyle="1" w:styleId="20">
    <w:name w:val="标题 1 Char"/>
    <w:link w:val="2"/>
    <w:qFormat/>
    <w:uiPriority w:val="0"/>
    <w:rPr>
      <w:b/>
      <w:kern w:val="44"/>
      <w:sz w:val="44"/>
    </w:rPr>
  </w:style>
  <w:style w:type="character" w:customStyle="1" w:styleId="21">
    <w:name w:val="标题 2 Char"/>
    <w:link w:val="3"/>
    <w:qFormat/>
    <w:uiPriority w:val="0"/>
    <w:rPr>
      <w:rFonts w:ascii="Arial" w:hAnsi="Arial" w:eastAsia="黑体"/>
      <w:b/>
      <w:sz w:val="32"/>
    </w:rPr>
  </w:style>
  <w:style w:type="character" w:customStyle="1" w:styleId="22">
    <w:name w:val="标题 3 Char"/>
    <w:link w:val="4"/>
    <w:qFormat/>
    <w:uiPriority w:val="0"/>
    <w:rPr>
      <w:b/>
      <w:sz w:val="32"/>
    </w:rPr>
  </w:style>
  <w:style w:type="character" w:customStyle="1" w:styleId="23">
    <w:name w:val="日期 Char"/>
    <w:basedOn w:val="17"/>
    <w:link w:val="7"/>
    <w:qFormat/>
    <w:uiPriority w:val="0"/>
    <w:rPr>
      <w:kern w:val="2"/>
      <w:sz w:val="21"/>
      <w:szCs w:val="24"/>
    </w:rPr>
  </w:style>
  <w:style w:type="paragraph" w:customStyle="1" w:styleId="24">
    <w:name w:val="列出段落1"/>
    <w:basedOn w:val="1"/>
    <w:qFormat/>
    <w:uiPriority w:val="0"/>
    <w:pPr>
      <w:ind w:firstLine="420" w:firstLineChars="200"/>
    </w:pPr>
    <w:rPr>
      <w:rFonts w:ascii="Calibri" w:hAnsi="Calibri"/>
      <w:szCs w:val="22"/>
    </w:rPr>
  </w:style>
  <w:style w:type="paragraph" w:styleId="25">
    <w:name w:val="List Paragraph"/>
    <w:basedOn w:val="1"/>
    <w:unhideWhenUsed/>
    <w:qFormat/>
    <w:uiPriority w:val="99"/>
    <w:pPr>
      <w:ind w:firstLine="420" w:firstLineChars="200"/>
    </w:pPr>
  </w:style>
  <w:style w:type="paragraph" w:customStyle="1" w:styleId="26">
    <w:name w:val="WPSOffice手动目录 1"/>
    <w:qFormat/>
    <w:uiPriority w:val="0"/>
    <w:rPr>
      <w:rFonts w:asciiTheme="minorHAnsi" w:hAnsiTheme="minorHAnsi" w:eastAsiaTheme="minorEastAsia" w:cstheme="minorBidi"/>
      <w:sz w:val="21"/>
      <w:szCs w:val="22"/>
      <w:lang w:val="en-US" w:eastAsia="zh-CN" w:bidi="ar-SA"/>
    </w:rPr>
  </w:style>
  <w:style w:type="paragraph" w:customStyle="1" w:styleId="27">
    <w:name w:val="WPSOffice手动目录 2"/>
    <w:qFormat/>
    <w:uiPriority w:val="0"/>
    <w:pPr>
      <w:ind w:left="200" w:leftChars="200"/>
    </w:pPr>
    <w:rPr>
      <w:rFonts w:asciiTheme="minorHAnsi" w:hAnsiTheme="minorHAnsi" w:eastAsiaTheme="minorEastAsia" w:cstheme="minorBidi"/>
      <w:lang w:val="en-US" w:eastAsia="zh-CN" w:bidi="ar-SA"/>
    </w:rPr>
  </w:style>
  <w:style w:type="table" w:customStyle="1" w:styleId="28">
    <w:name w:val="网格型1"/>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
    <w:name w:val="网格型2"/>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style31"/>
    <w:basedOn w:val="17"/>
    <w:qFormat/>
    <w:uiPriority w:val="0"/>
    <w:rPr>
      <w:color w:val="FF9900"/>
    </w:rPr>
  </w:style>
  <w:style w:type="character" w:customStyle="1" w:styleId="31">
    <w:name w:val="批注框文本 Char"/>
    <w:basedOn w:val="17"/>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BDA62-E7AC-4475-91DB-DE6931927B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11028</Words>
  <Characters>12085</Characters>
  <Lines>141</Lines>
  <Paragraphs>39</Paragraphs>
  <TotalTime>32</TotalTime>
  <ScaleCrop>false</ScaleCrop>
  <LinksUpToDate>false</LinksUpToDate>
  <CharactersWithSpaces>12279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2020-03-24T07:58:00Z</dcterms:created>
  <dc:creator>Administrator</dc:creator>
  <cp:lastModifiedBy>Administrator</cp:lastModifiedBy>
  <cp:lastPrinted>2019-10-31T08:39:00Z</cp:lastPrinted>
  <dcterms:modified xsi:type="dcterms:W3CDTF">2022-03-21T01:30:03Z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KSORubyTemplateID" linkTarget="0">
    <vt:lpwstr>6</vt:lpwstr>
  </property>
  <property fmtid="{D5CDD505-2E9C-101B-9397-08002B2CF9AE}" pid="4" name="ICV">
    <vt:lpwstr>D60B41BC459F490AA526EF8401B737C8</vt:lpwstr>
  </property>
</Properties>
</file>